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650"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0650"/>
      </w:tblGrid>
      <w:tr w:rsidR="00157DBD" w:rsidRPr="00157DBD" w14:paraId="09DBC1E8"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999999"/>
            <w:tcMar>
              <w:top w:w="60" w:type="dxa"/>
              <w:left w:w="90" w:type="dxa"/>
              <w:bottom w:w="60" w:type="dxa"/>
              <w:right w:w="90" w:type="dxa"/>
            </w:tcMar>
            <w:vAlign w:val="center"/>
            <w:hideMark/>
          </w:tcPr>
          <w:p w14:paraId="7A5AD64A"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14:ligatures w14:val="none"/>
              </w:rPr>
            </w:pPr>
            <w:r w:rsidRPr="00157DBD">
              <w:rPr>
                <w:rFonts w:ascii="droidkufi" w:eastAsia="Times New Roman" w:hAnsi="droidkufi" w:cs="Tajawal"/>
                <w:b/>
                <w:bCs/>
                <w:color w:val="000000"/>
                <w:kern w:val="0"/>
                <w:sz w:val="21"/>
                <w:szCs w:val="21"/>
                <w:rtl/>
                <w14:ligatures w14:val="none"/>
              </w:rPr>
              <w:t>المرحلة الخامسة</w:t>
            </w:r>
          </w:p>
        </w:tc>
      </w:tr>
      <w:tr w:rsidR="00157DBD" w:rsidRPr="00157DBD" w14:paraId="02C31503"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4EAA9FD9"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b/>
                <w:bCs/>
                <w:color w:val="000000"/>
                <w:kern w:val="0"/>
                <w:sz w:val="21"/>
                <w:szCs w:val="21"/>
                <w:rtl/>
                <w14:ligatures w14:val="none"/>
              </w:rPr>
              <w:t>التصميم المعماري</w:t>
            </w:r>
          </w:p>
        </w:tc>
      </w:tr>
      <w:tr w:rsidR="00157DBD" w:rsidRPr="00157DBD" w14:paraId="3FBE1167" w14:textId="77777777" w:rsidTr="00157DBD">
        <w:trPr>
          <w:trHeight w:val="1999"/>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1109CB04"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تعد هذه المادة </w:t>
            </w:r>
            <w:proofErr w:type="spellStart"/>
            <w:r w:rsidRPr="00157DBD">
              <w:rPr>
                <w:rFonts w:ascii="droidkufi" w:eastAsia="Times New Roman" w:hAnsi="droidkufi" w:cs="Tajawal"/>
                <w:color w:val="000000"/>
                <w:kern w:val="0"/>
                <w:sz w:val="21"/>
                <w:szCs w:val="21"/>
                <w:rtl/>
                <w14:ligatures w14:val="none"/>
              </w:rPr>
              <w:t>الصفحه</w:t>
            </w:r>
            <w:proofErr w:type="spellEnd"/>
            <w:r w:rsidRPr="00157DBD">
              <w:rPr>
                <w:rFonts w:ascii="droidkufi" w:eastAsia="Times New Roman" w:hAnsi="droidkufi" w:cs="Tajawal"/>
                <w:color w:val="000000"/>
                <w:kern w:val="0"/>
                <w:sz w:val="21"/>
                <w:szCs w:val="21"/>
                <w:rtl/>
                <w14:ligatures w14:val="none"/>
              </w:rPr>
              <w:t xml:space="preserve"> الاخيرة للطالب المعماري في الممارسة التصميمية لسنوات الدراسة وتركز على مفهوم التطوير الحضري من خلال التوثيق الميداني المباشر </w:t>
            </w:r>
            <w:proofErr w:type="spellStart"/>
            <w:r w:rsidRPr="00157DBD">
              <w:rPr>
                <w:rFonts w:ascii="droidkufi" w:eastAsia="Times New Roman" w:hAnsi="droidkufi" w:cs="Tajawal"/>
                <w:color w:val="000000"/>
                <w:kern w:val="0"/>
                <w:sz w:val="21"/>
                <w:szCs w:val="21"/>
                <w:rtl/>
                <w14:ligatures w14:val="none"/>
              </w:rPr>
              <w:t>لماطق</w:t>
            </w:r>
            <w:proofErr w:type="spellEnd"/>
            <w:r w:rsidRPr="00157DBD">
              <w:rPr>
                <w:rFonts w:ascii="droidkufi" w:eastAsia="Times New Roman" w:hAnsi="droidkufi" w:cs="Tajawal"/>
                <w:color w:val="000000"/>
                <w:kern w:val="0"/>
                <w:sz w:val="21"/>
                <w:szCs w:val="21"/>
                <w:rtl/>
                <w14:ligatures w14:val="none"/>
              </w:rPr>
              <w:t xml:space="preserve"> تراثية او مناطق مركزية في المدن العراقية، ومن خلال ذلك يتم وضع البدائل التطويرية </w:t>
            </w:r>
            <w:proofErr w:type="spellStart"/>
            <w:r w:rsidRPr="00157DBD">
              <w:rPr>
                <w:rFonts w:ascii="droidkufi" w:eastAsia="Times New Roman" w:hAnsi="droidkufi" w:cs="Tajawal"/>
                <w:color w:val="000000"/>
                <w:kern w:val="0"/>
                <w:sz w:val="21"/>
                <w:szCs w:val="21"/>
                <w:rtl/>
                <w14:ligatures w14:val="none"/>
              </w:rPr>
              <w:t>كاساس</w:t>
            </w:r>
            <w:proofErr w:type="spellEnd"/>
            <w:r w:rsidRPr="00157DBD">
              <w:rPr>
                <w:rFonts w:ascii="droidkufi" w:eastAsia="Times New Roman" w:hAnsi="droidkufi" w:cs="Tajawal"/>
                <w:color w:val="000000"/>
                <w:kern w:val="0"/>
                <w:sz w:val="21"/>
                <w:szCs w:val="21"/>
                <w:rtl/>
                <w14:ligatures w14:val="none"/>
              </w:rPr>
              <w:t xml:space="preserve"> في مفاهيم الحفاظ والتطوير والمادة البنائية </w:t>
            </w:r>
            <w:proofErr w:type="spellStart"/>
            <w:r w:rsidRPr="00157DBD">
              <w:rPr>
                <w:rFonts w:ascii="droidkufi" w:eastAsia="Times New Roman" w:hAnsi="droidkufi" w:cs="Tajawal"/>
                <w:color w:val="000000"/>
                <w:kern w:val="0"/>
                <w:sz w:val="21"/>
                <w:szCs w:val="21"/>
                <w:rtl/>
                <w14:ligatures w14:val="none"/>
              </w:rPr>
              <w:t>وباسلوب</w:t>
            </w:r>
            <w:proofErr w:type="spellEnd"/>
            <w:r w:rsidRPr="00157DBD">
              <w:rPr>
                <w:rFonts w:ascii="droidkufi" w:eastAsia="Times New Roman" w:hAnsi="droidkufi" w:cs="Tajawal"/>
                <w:color w:val="000000"/>
                <w:kern w:val="0"/>
                <w:sz w:val="21"/>
                <w:szCs w:val="21"/>
                <w:rtl/>
                <w14:ligatures w14:val="none"/>
              </w:rPr>
              <w:t xml:space="preserve"> تنظيمي معتمد على قوانين وتشريعات امانة بغداد وبلديات المحافظات ويشارك في اعداد البدائل مجاميع طلابية (من 6-8 طلاب) </w:t>
            </w:r>
            <w:proofErr w:type="spellStart"/>
            <w:r w:rsidRPr="00157DBD">
              <w:rPr>
                <w:rFonts w:ascii="droidkufi" w:eastAsia="Times New Roman" w:hAnsi="droidkufi" w:cs="Tajawal"/>
                <w:color w:val="000000"/>
                <w:kern w:val="0"/>
                <w:sz w:val="21"/>
                <w:szCs w:val="21"/>
                <w:rtl/>
                <w14:ligatures w14:val="none"/>
              </w:rPr>
              <w:t>تاخذ</w:t>
            </w:r>
            <w:proofErr w:type="spellEnd"/>
            <w:r w:rsidRPr="00157DBD">
              <w:rPr>
                <w:rFonts w:ascii="droidkufi" w:eastAsia="Times New Roman" w:hAnsi="droidkufi" w:cs="Tajawal"/>
                <w:color w:val="000000"/>
                <w:kern w:val="0"/>
                <w:sz w:val="21"/>
                <w:szCs w:val="21"/>
                <w:rtl/>
                <w14:ligatures w14:val="none"/>
              </w:rPr>
              <w:t xml:space="preserve"> على عاتقها تقديم التوثيقات لكامل واقع الحال للمنطقة المعنية ومن خلال مخططات توضح </w:t>
            </w:r>
            <w:proofErr w:type="spellStart"/>
            <w:r w:rsidRPr="00157DBD">
              <w:rPr>
                <w:rFonts w:ascii="droidkufi" w:eastAsia="Times New Roman" w:hAnsi="droidkufi" w:cs="Tajawal"/>
                <w:color w:val="000000"/>
                <w:kern w:val="0"/>
                <w:sz w:val="21"/>
                <w:szCs w:val="21"/>
                <w:rtl/>
                <w14:ligatures w14:val="none"/>
              </w:rPr>
              <w:t>الحاله</w:t>
            </w:r>
            <w:proofErr w:type="spellEnd"/>
            <w:r w:rsidRPr="00157DBD">
              <w:rPr>
                <w:rFonts w:ascii="droidkufi" w:eastAsia="Times New Roman" w:hAnsi="droidkufi" w:cs="Tajawal"/>
                <w:color w:val="000000"/>
                <w:kern w:val="0"/>
                <w:sz w:val="21"/>
                <w:szCs w:val="21"/>
                <w:rtl/>
                <w14:ligatures w14:val="none"/>
              </w:rPr>
              <w:t xml:space="preserve"> الاستخدامية واستعمالات الارض </w:t>
            </w:r>
            <w:proofErr w:type="spellStart"/>
            <w:r w:rsidRPr="00157DBD">
              <w:rPr>
                <w:rFonts w:ascii="droidkufi" w:eastAsia="Times New Roman" w:hAnsi="droidkufi" w:cs="Tajawal"/>
                <w:color w:val="000000"/>
                <w:kern w:val="0"/>
                <w:sz w:val="21"/>
                <w:szCs w:val="21"/>
                <w:rtl/>
                <w14:ligatures w14:val="none"/>
              </w:rPr>
              <w:t>والحاله</w:t>
            </w:r>
            <w:proofErr w:type="spellEnd"/>
            <w:r w:rsidRPr="00157DBD">
              <w:rPr>
                <w:rFonts w:ascii="droidkufi" w:eastAsia="Times New Roman" w:hAnsi="droidkufi" w:cs="Tajawal"/>
                <w:color w:val="000000"/>
                <w:kern w:val="0"/>
                <w:sz w:val="21"/>
                <w:szCs w:val="21"/>
                <w:rtl/>
                <w14:ligatures w14:val="none"/>
              </w:rPr>
              <w:t xml:space="preserve"> الانشائية </w:t>
            </w:r>
            <w:proofErr w:type="spellStart"/>
            <w:r w:rsidRPr="00157DBD">
              <w:rPr>
                <w:rFonts w:ascii="droidkufi" w:eastAsia="Times New Roman" w:hAnsi="droidkufi" w:cs="Tajawal"/>
                <w:color w:val="000000"/>
                <w:kern w:val="0"/>
                <w:sz w:val="21"/>
                <w:szCs w:val="21"/>
                <w:rtl/>
                <w14:ligatures w14:val="none"/>
              </w:rPr>
              <w:t>والحاله</w:t>
            </w:r>
            <w:proofErr w:type="spellEnd"/>
            <w:r w:rsidRPr="00157DBD">
              <w:rPr>
                <w:rFonts w:ascii="droidkufi" w:eastAsia="Times New Roman" w:hAnsi="droidkufi" w:cs="Tajawal"/>
                <w:color w:val="000000"/>
                <w:kern w:val="0"/>
                <w:sz w:val="21"/>
                <w:szCs w:val="21"/>
                <w:rtl/>
                <w14:ligatures w14:val="none"/>
              </w:rPr>
              <w:t xml:space="preserve"> التراثية وتشخيص المباني </w:t>
            </w:r>
            <w:proofErr w:type="spellStart"/>
            <w:r w:rsidRPr="00157DBD">
              <w:rPr>
                <w:rFonts w:ascii="droidkufi" w:eastAsia="Times New Roman" w:hAnsi="droidkufi" w:cs="Tajawal"/>
                <w:color w:val="000000"/>
                <w:kern w:val="0"/>
                <w:sz w:val="21"/>
                <w:szCs w:val="21"/>
                <w:rtl/>
                <w14:ligatures w14:val="none"/>
              </w:rPr>
              <w:t>الحفاظية</w:t>
            </w:r>
            <w:proofErr w:type="spellEnd"/>
            <w:r w:rsidRPr="00157DBD">
              <w:rPr>
                <w:rFonts w:ascii="droidkufi" w:eastAsia="Times New Roman" w:hAnsi="droidkufi" w:cs="Tajawal"/>
                <w:color w:val="000000"/>
                <w:kern w:val="0"/>
                <w:sz w:val="21"/>
                <w:szCs w:val="21"/>
                <w:rtl/>
                <w14:ligatures w14:val="none"/>
              </w:rPr>
              <w:t xml:space="preserve"> وتجميعاتها وفرز المفردات المعمارية المتميزة وعلى ضوء ذلك يقدم البديل التخطيطي الملائم لتطوير المنطقة وعلى شكل مخططات ومجسات وصور حية.</w:t>
            </w:r>
          </w:p>
        </w:tc>
      </w:tr>
      <w:tr w:rsidR="00157DBD" w:rsidRPr="00157DBD" w14:paraId="32F34B0F"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79AE68B1"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b/>
                <w:bCs/>
                <w:color w:val="000000"/>
                <w:kern w:val="0"/>
                <w:sz w:val="21"/>
                <w:szCs w:val="21"/>
                <w:rtl/>
                <w14:ligatures w14:val="none"/>
              </w:rPr>
              <w:t>الاطروحة</w:t>
            </w:r>
          </w:p>
        </w:tc>
      </w:tr>
      <w:tr w:rsidR="00157DBD" w:rsidRPr="00157DBD" w14:paraId="3E6D460F" w14:textId="77777777" w:rsidTr="00157DBD">
        <w:trPr>
          <w:trHeight w:val="1999"/>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3A93428F"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تعد الاطروحة </w:t>
            </w:r>
            <w:proofErr w:type="spellStart"/>
            <w:r w:rsidRPr="00157DBD">
              <w:rPr>
                <w:rFonts w:ascii="droidkufi" w:eastAsia="Times New Roman" w:hAnsi="droidkufi" w:cs="Tajawal"/>
                <w:color w:val="000000"/>
                <w:kern w:val="0"/>
                <w:sz w:val="21"/>
                <w:szCs w:val="21"/>
                <w:rtl/>
                <w14:ligatures w14:val="none"/>
              </w:rPr>
              <w:t>الحصيله</w:t>
            </w:r>
            <w:proofErr w:type="spellEnd"/>
            <w:r w:rsidRPr="00157DBD">
              <w:rPr>
                <w:rFonts w:ascii="droidkufi" w:eastAsia="Times New Roman" w:hAnsi="droidkufi" w:cs="Tajawal"/>
                <w:color w:val="000000"/>
                <w:kern w:val="0"/>
                <w:sz w:val="21"/>
                <w:szCs w:val="21"/>
                <w:rtl/>
                <w14:ligatures w14:val="none"/>
              </w:rPr>
              <w:t xml:space="preserve"> النهائية لعصارة المعرفة التي توصل </w:t>
            </w:r>
            <w:proofErr w:type="spellStart"/>
            <w:r w:rsidRPr="00157DBD">
              <w:rPr>
                <w:rFonts w:ascii="droidkufi" w:eastAsia="Times New Roman" w:hAnsi="droidkufi" w:cs="Tajawal"/>
                <w:color w:val="000000"/>
                <w:kern w:val="0"/>
                <w:sz w:val="21"/>
                <w:szCs w:val="21"/>
                <w:rtl/>
                <w14:ligatures w14:val="none"/>
              </w:rPr>
              <w:t>اليةا</w:t>
            </w:r>
            <w:proofErr w:type="spellEnd"/>
            <w:r w:rsidRPr="00157DBD">
              <w:rPr>
                <w:rFonts w:ascii="droidkufi" w:eastAsia="Times New Roman" w:hAnsi="droidkufi" w:cs="Tajawal"/>
                <w:color w:val="000000"/>
                <w:kern w:val="0"/>
                <w:sz w:val="21"/>
                <w:szCs w:val="21"/>
                <w:rtl/>
                <w14:ligatures w14:val="none"/>
              </w:rPr>
              <w:t xml:space="preserve"> الطالب خــلال سنين دراسته من نضوج فكري واصول في العمل التصميمي وانتمائية للمكان وارتباطه بالقيم والجذور العميقة لبلدة وامته ومجتمعه </w:t>
            </w:r>
            <w:proofErr w:type="spellStart"/>
            <w:r w:rsidRPr="00157DBD">
              <w:rPr>
                <w:rFonts w:ascii="droidkufi" w:eastAsia="Times New Roman" w:hAnsi="droidkufi" w:cs="Tajawal"/>
                <w:color w:val="000000"/>
                <w:kern w:val="0"/>
                <w:sz w:val="21"/>
                <w:szCs w:val="21"/>
                <w:rtl/>
                <w14:ligatures w14:val="none"/>
              </w:rPr>
              <w:t>وتقاليدة</w:t>
            </w:r>
            <w:proofErr w:type="spellEnd"/>
            <w:r w:rsidRPr="00157DBD">
              <w:rPr>
                <w:rFonts w:ascii="droidkufi" w:eastAsia="Times New Roman" w:hAnsi="droidkufi" w:cs="Tajawal"/>
                <w:color w:val="000000"/>
                <w:kern w:val="0"/>
                <w:sz w:val="21"/>
                <w:szCs w:val="21"/>
                <w:rtl/>
                <w14:ligatures w14:val="none"/>
              </w:rPr>
              <w:t xml:space="preserve"> وثقافته…تاركين للطالب المجال ليعبر عن كل هذه القيم من خلال طروحاته الفكرية والتصميمية للمشروع المختار والذي نـؤكد </w:t>
            </w:r>
            <w:proofErr w:type="spellStart"/>
            <w:r w:rsidRPr="00157DBD">
              <w:rPr>
                <w:rFonts w:ascii="droidkufi" w:eastAsia="Times New Roman" w:hAnsi="droidkufi" w:cs="Tajawal"/>
                <w:color w:val="000000"/>
                <w:kern w:val="0"/>
                <w:sz w:val="21"/>
                <w:szCs w:val="21"/>
                <w:rtl/>
                <w14:ligatures w14:val="none"/>
              </w:rPr>
              <w:t>فية</w:t>
            </w:r>
            <w:proofErr w:type="spellEnd"/>
            <w:r w:rsidRPr="00157DBD">
              <w:rPr>
                <w:rFonts w:ascii="droidkufi" w:eastAsia="Times New Roman" w:hAnsi="droidkufi" w:cs="Tajawal"/>
                <w:color w:val="000000"/>
                <w:kern w:val="0"/>
                <w:sz w:val="21"/>
                <w:szCs w:val="21"/>
                <w:rtl/>
                <w14:ligatures w14:val="none"/>
              </w:rPr>
              <w:t xml:space="preserve"> ان يكون مـن مشاريع حقيقية مقترحة من قبل دوائر </w:t>
            </w:r>
            <w:proofErr w:type="spellStart"/>
            <w:r w:rsidRPr="00157DBD">
              <w:rPr>
                <w:rFonts w:ascii="droidkufi" w:eastAsia="Times New Roman" w:hAnsi="droidkufi" w:cs="Tajawal"/>
                <w:color w:val="000000"/>
                <w:kern w:val="0"/>
                <w:sz w:val="21"/>
                <w:szCs w:val="21"/>
                <w:rtl/>
                <w14:ligatures w14:val="none"/>
              </w:rPr>
              <w:t>الدوله</w:t>
            </w:r>
            <w:proofErr w:type="spellEnd"/>
            <w:r w:rsidRPr="00157DBD">
              <w:rPr>
                <w:rFonts w:ascii="droidkufi" w:eastAsia="Times New Roman" w:hAnsi="droidkufi" w:cs="Tajawal"/>
                <w:color w:val="000000"/>
                <w:kern w:val="0"/>
                <w:sz w:val="21"/>
                <w:szCs w:val="21"/>
                <w:rtl/>
                <w14:ligatures w14:val="none"/>
              </w:rPr>
              <w:t xml:space="preserve"> المختلقة وذات منهاج واضح معتمد او ان تطرح من قبل </w:t>
            </w:r>
            <w:proofErr w:type="spellStart"/>
            <w:r w:rsidRPr="00157DBD">
              <w:rPr>
                <w:rFonts w:ascii="droidkufi" w:eastAsia="Times New Roman" w:hAnsi="droidkufi" w:cs="Tajawal"/>
                <w:color w:val="000000"/>
                <w:kern w:val="0"/>
                <w:sz w:val="21"/>
                <w:szCs w:val="21"/>
                <w:rtl/>
                <w14:ligatures w14:val="none"/>
              </w:rPr>
              <w:t>الاساتذه</w:t>
            </w:r>
            <w:proofErr w:type="spellEnd"/>
            <w:r w:rsidRPr="00157DBD">
              <w:rPr>
                <w:rFonts w:ascii="droidkufi" w:eastAsia="Times New Roman" w:hAnsi="droidkufi" w:cs="Tajawal"/>
                <w:color w:val="000000"/>
                <w:kern w:val="0"/>
                <w:sz w:val="21"/>
                <w:szCs w:val="21"/>
                <w:rtl/>
                <w14:ligatures w14:val="none"/>
              </w:rPr>
              <w:t xml:space="preserve"> لحل مشكله معينه او مشروع متميز بيئياَ او طوبوغرافيا او ذو متطلبات </w:t>
            </w:r>
            <w:proofErr w:type="spellStart"/>
            <w:r w:rsidRPr="00157DBD">
              <w:rPr>
                <w:rFonts w:ascii="droidkufi" w:eastAsia="Times New Roman" w:hAnsi="droidkufi" w:cs="Tajawal"/>
                <w:color w:val="000000"/>
                <w:kern w:val="0"/>
                <w:sz w:val="21"/>
                <w:szCs w:val="21"/>
                <w:rtl/>
                <w14:ligatures w14:val="none"/>
              </w:rPr>
              <w:t>نصبية</w:t>
            </w:r>
            <w:proofErr w:type="spellEnd"/>
            <w:r w:rsidRPr="00157DBD">
              <w:rPr>
                <w:rFonts w:ascii="droidkufi" w:eastAsia="Times New Roman" w:hAnsi="droidkufi" w:cs="Tajawal"/>
                <w:color w:val="000000"/>
                <w:kern w:val="0"/>
                <w:sz w:val="21"/>
                <w:szCs w:val="21"/>
                <w:rtl/>
                <w14:ligatures w14:val="none"/>
              </w:rPr>
              <w:t xml:space="preserve"> تـحمل طـابع </w:t>
            </w:r>
            <w:proofErr w:type="spellStart"/>
            <w:r w:rsidRPr="00157DBD">
              <w:rPr>
                <w:rFonts w:ascii="droidkufi" w:eastAsia="Times New Roman" w:hAnsi="droidkufi" w:cs="Tajawal"/>
                <w:color w:val="000000"/>
                <w:kern w:val="0"/>
                <w:sz w:val="21"/>
                <w:szCs w:val="21"/>
                <w:rtl/>
                <w14:ligatures w14:val="none"/>
              </w:rPr>
              <w:t>الراسمالية</w:t>
            </w:r>
            <w:proofErr w:type="spellEnd"/>
            <w:r w:rsidRPr="00157DBD">
              <w:rPr>
                <w:rFonts w:ascii="droidkufi" w:eastAsia="Times New Roman" w:hAnsi="droidkufi" w:cs="Tajawal"/>
                <w:color w:val="000000"/>
                <w:kern w:val="0"/>
                <w:sz w:val="21"/>
                <w:szCs w:val="21"/>
                <w:rtl/>
                <w14:ligatures w14:val="none"/>
              </w:rPr>
              <w:t xml:space="preserve"> رفيعة المستوى </w:t>
            </w:r>
            <w:proofErr w:type="spellStart"/>
            <w:r w:rsidRPr="00157DBD">
              <w:rPr>
                <w:rFonts w:ascii="droidkufi" w:eastAsia="Times New Roman" w:hAnsi="droidkufi" w:cs="Tajawal"/>
                <w:color w:val="000000"/>
                <w:kern w:val="0"/>
                <w:sz w:val="21"/>
                <w:szCs w:val="21"/>
                <w:rtl/>
                <w14:ligatures w14:val="none"/>
              </w:rPr>
              <w:t>اومشروع</w:t>
            </w:r>
            <w:proofErr w:type="spellEnd"/>
            <w:r w:rsidRPr="00157DBD">
              <w:rPr>
                <w:rFonts w:ascii="droidkufi" w:eastAsia="Times New Roman" w:hAnsi="droidkufi" w:cs="Tajawal"/>
                <w:color w:val="000000"/>
                <w:kern w:val="0"/>
                <w:sz w:val="21"/>
                <w:szCs w:val="21"/>
                <w:rtl/>
                <w14:ligatures w14:val="none"/>
              </w:rPr>
              <w:t xml:space="preserve"> يخـصص لحل مشكله او ازمة مطروحة على الساحة المعمارية كمشاريع الاسكان او مشاريع صـناعية او مشروع حفاظي متميز في حاله المشاريع الكبيرة يسمح بمشاركة اكثر من طالب لتنفيذها.</w:t>
            </w:r>
          </w:p>
        </w:tc>
      </w:tr>
      <w:tr w:rsidR="00157DBD" w:rsidRPr="00157DBD" w14:paraId="1892EA3F"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01258CB0"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b/>
                <w:bCs/>
                <w:color w:val="000000"/>
                <w:kern w:val="0"/>
                <w:sz w:val="21"/>
                <w:szCs w:val="21"/>
                <w:rtl/>
                <w14:ligatures w14:val="none"/>
              </w:rPr>
              <w:t>مواصفات وتخمين</w:t>
            </w:r>
          </w:p>
        </w:tc>
      </w:tr>
      <w:tr w:rsidR="00157DBD" w:rsidRPr="00157DBD" w14:paraId="150F4A26" w14:textId="77777777" w:rsidTr="00157DBD">
        <w:trPr>
          <w:trHeight w:val="1333"/>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731301A"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تهدف المادة تعريف الطالب </w:t>
            </w:r>
            <w:proofErr w:type="spellStart"/>
            <w:r w:rsidRPr="00157DBD">
              <w:rPr>
                <w:rFonts w:ascii="droidkufi" w:eastAsia="Times New Roman" w:hAnsi="droidkufi" w:cs="Tajawal"/>
                <w:color w:val="000000"/>
                <w:kern w:val="0"/>
                <w:sz w:val="21"/>
                <w:szCs w:val="21"/>
                <w:rtl/>
                <w14:ligatures w14:val="none"/>
              </w:rPr>
              <w:t>بالامور</w:t>
            </w:r>
            <w:proofErr w:type="spellEnd"/>
            <w:r w:rsidRPr="00157DBD">
              <w:rPr>
                <w:rFonts w:ascii="droidkufi" w:eastAsia="Times New Roman" w:hAnsi="droidkufi" w:cs="Tajawal"/>
                <w:color w:val="000000"/>
                <w:kern w:val="0"/>
                <w:sz w:val="21"/>
                <w:szCs w:val="21"/>
                <w:rtl/>
                <w14:ligatures w14:val="none"/>
              </w:rPr>
              <w:t xml:space="preserve"> التنفيذية الخاصة بعمل المعماري كمنسق لجميع الاختصاصات </w:t>
            </w:r>
            <w:proofErr w:type="spellStart"/>
            <w:r w:rsidRPr="00157DBD">
              <w:rPr>
                <w:rFonts w:ascii="droidkufi" w:eastAsia="Times New Roman" w:hAnsi="droidkufi" w:cs="Tajawal"/>
                <w:color w:val="000000"/>
                <w:kern w:val="0"/>
                <w:sz w:val="21"/>
                <w:szCs w:val="21"/>
                <w:rtl/>
                <w14:ligatures w14:val="none"/>
              </w:rPr>
              <w:t>الداخله</w:t>
            </w:r>
            <w:proofErr w:type="spellEnd"/>
            <w:r w:rsidRPr="00157DBD">
              <w:rPr>
                <w:rFonts w:ascii="droidkufi" w:eastAsia="Times New Roman" w:hAnsi="droidkufi" w:cs="Tajawal"/>
                <w:color w:val="000000"/>
                <w:kern w:val="0"/>
                <w:sz w:val="21"/>
                <w:szCs w:val="21"/>
                <w:rtl/>
                <w14:ligatures w14:val="none"/>
              </w:rPr>
              <w:t xml:space="preserve"> في اعمال التنفيذ </w:t>
            </w:r>
            <w:proofErr w:type="gramStart"/>
            <w:r w:rsidRPr="00157DBD">
              <w:rPr>
                <w:rFonts w:ascii="droidkufi" w:eastAsia="Times New Roman" w:hAnsi="droidkufi" w:cs="Tajawal"/>
                <w:color w:val="000000"/>
                <w:kern w:val="0"/>
                <w:sz w:val="21"/>
                <w:szCs w:val="21"/>
                <w:rtl/>
                <w14:ligatures w14:val="none"/>
              </w:rPr>
              <w:t>عموما,</w:t>
            </w:r>
            <w:proofErr w:type="gramEnd"/>
            <w:r w:rsidRPr="00157DBD">
              <w:rPr>
                <w:rFonts w:ascii="droidkufi" w:eastAsia="Times New Roman" w:hAnsi="droidkufi" w:cs="Tajawal"/>
                <w:color w:val="000000"/>
                <w:kern w:val="0"/>
                <w:sz w:val="21"/>
                <w:szCs w:val="21"/>
                <w:rtl/>
                <w14:ligatures w14:val="none"/>
              </w:rPr>
              <w:t xml:space="preserve"> وكمنتج </w:t>
            </w:r>
            <w:proofErr w:type="spellStart"/>
            <w:r w:rsidRPr="00157DBD">
              <w:rPr>
                <w:rFonts w:ascii="droidkufi" w:eastAsia="Times New Roman" w:hAnsi="droidkufi" w:cs="Tajawal"/>
                <w:color w:val="000000"/>
                <w:kern w:val="0"/>
                <w:sz w:val="21"/>
                <w:szCs w:val="21"/>
                <w:rtl/>
                <w14:ligatures w14:val="none"/>
              </w:rPr>
              <w:t>للاعمال</w:t>
            </w:r>
            <w:proofErr w:type="spellEnd"/>
            <w:r w:rsidRPr="00157DBD">
              <w:rPr>
                <w:rFonts w:ascii="droidkufi" w:eastAsia="Times New Roman" w:hAnsi="droidkufi" w:cs="Tajawal"/>
                <w:color w:val="000000"/>
                <w:kern w:val="0"/>
                <w:sz w:val="21"/>
                <w:szCs w:val="21"/>
                <w:rtl/>
                <w14:ligatures w14:val="none"/>
              </w:rPr>
              <w:t xml:space="preserve"> التصميمية في الافكار الاولية المطروحة وموازنتها الاقتصادية ومن ثم إعداد التصاميم التفصيلية </w:t>
            </w:r>
            <w:proofErr w:type="spellStart"/>
            <w:r w:rsidRPr="00157DBD">
              <w:rPr>
                <w:rFonts w:ascii="droidkufi" w:eastAsia="Times New Roman" w:hAnsi="droidkufi" w:cs="Tajawal"/>
                <w:color w:val="000000"/>
                <w:kern w:val="0"/>
                <w:sz w:val="21"/>
                <w:szCs w:val="21"/>
                <w:rtl/>
                <w14:ligatures w14:val="none"/>
              </w:rPr>
              <w:t>الاصة</w:t>
            </w:r>
            <w:proofErr w:type="spellEnd"/>
            <w:r w:rsidRPr="00157DBD">
              <w:rPr>
                <w:rFonts w:ascii="droidkufi" w:eastAsia="Times New Roman" w:hAnsi="droidkufi" w:cs="Tajawal"/>
                <w:color w:val="000000"/>
                <w:kern w:val="0"/>
                <w:sz w:val="21"/>
                <w:szCs w:val="21"/>
                <w:rtl/>
                <w14:ligatures w14:val="none"/>
              </w:rPr>
              <w:t xml:space="preserve"> بها.. خصوصاَ ثم يتعرف الطالب على انواع المقاولات الانشائية والاساليب والاسس المعتمدة في تقديرات وحسابات الكلف التخمينية البنائية واصول اعداد وتنظيم جداول الكميات والمواصفات العامة والخاصة وتفاصيل شروط المقاولات.</w:t>
            </w:r>
          </w:p>
        </w:tc>
      </w:tr>
      <w:tr w:rsidR="00157DBD" w:rsidRPr="00157DBD" w14:paraId="36BA6C0F"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069C56CB"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b/>
                <w:bCs/>
                <w:color w:val="000000"/>
                <w:kern w:val="0"/>
                <w:sz w:val="21"/>
                <w:szCs w:val="21"/>
                <w:rtl/>
                <w14:ligatures w14:val="none"/>
              </w:rPr>
              <w:t>ممارسة مهنية</w:t>
            </w:r>
          </w:p>
        </w:tc>
      </w:tr>
      <w:tr w:rsidR="00157DBD" w:rsidRPr="00157DBD" w14:paraId="59F7B9FA" w14:textId="77777777" w:rsidTr="00157DBD">
        <w:trPr>
          <w:trHeight w:val="1333"/>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28D04BC6"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تهدف المادة تعريف الطالب </w:t>
            </w:r>
            <w:proofErr w:type="spellStart"/>
            <w:r w:rsidRPr="00157DBD">
              <w:rPr>
                <w:rFonts w:ascii="droidkufi" w:eastAsia="Times New Roman" w:hAnsi="droidkufi" w:cs="Tajawal"/>
                <w:color w:val="000000"/>
                <w:kern w:val="0"/>
                <w:sz w:val="21"/>
                <w:szCs w:val="21"/>
                <w:rtl/>
                <w14:ligatures w14:val="none"/>
              </w:rPr>
              <w:t>باصول</w:t>
            </w:r>
            <w:proofErr w:type="spellEnd"/>
            <w:r w:rsidRPr="00157DBD">
              <w:rPr>
                <w:rFonts w:ascii="droidkufi" w:eastAsia="Times New Roman" w:hAnsi="droidkufi" w:cs="Tajawal"/>
                <w:color w:val="000000"/>
                <w:kern w:val="0"/>
                <w:sz w:val="21"/>
                <w:szCs w:val="21"/>
                <w:rtl/>
                <w14:ligatures w14:val="none"/>
              </w:rPr>
              <w:t xml:space="preserve"> الممارسة المهنية وواجبات المهندس المعماري تجاه هذه المهنة من خلال طروحاته التصميمية اولاَ كمفكر ومبدع بها، الى ممارسته الميدانية كمنسق وقائد للفريق التنفيذي… ثانياَ كذلك يتعرف الطالب على اهم واجبات المهندس المعماري كمنفذ وكمشارك في اعمال المسابقات المعمارية او في الاعمال البحثية والتصميمية من خلال مبدا تعميق العمل مع الدوائر المختلفة وكذلك يتعرف الطالب على اصول التدرج المهني مـن خلال التنظيمات المهنية المعمول بها في </w:t>
            </w:r>
            <w:proofErr w:type="gramStart"/>
            <w:r w:rsidRPr="00157DBD">
              <w:rPr>
                <w:rFonts w:ascii="droidkufi" w:eastAsia="Times New Roman" w:hAnsi="droidkufi" w:cs="Tajawal"/>
                <w:color w:val="000000"/>
                <w:kern w:val="0"/>
                <w:sz w:val="21"/>
                <w:szCs w:val="21"/>
                <w:rtl/>
                <w14:ligatures w14:val="none"/>
              </w:rPr>
              <w:t>نقابه</w:t>
            </w:r>
            <w:proofErr w:type="gramEnd"/>
            <w:r w:rsidRPr="00157DBD">
              <w:rPr>
                <w:rFonts w:ascii="droidkufi" w:eastAsia="Times New Roman" w:hAnsi="droidkufi" w:cs="Tajawal"/>
                <w:color w:val="000000"/>
                <w:kern w:val="0"/>
                <w:sz w:val="21"/>
                <w:szCs w:val="21"/>
                <w:rtl/>
                <w14:ligatures w14:val="none"/>
              </w:rPr>
              <w:t xml:space="preserve"> </w:t>
            </w:r>
            <w:proofErr w:type="spellStart"/>
            <w:r w:rsidRPr="00157DBD">
              <w:rPr>
                <w:rFonts w:ascii="droidkufi" w:eastAsia="Times New Roman" w:hAnsi="droidkufi" w:cs="Tajawal"/>
                <w:color w:val="000000"/>
                <w:kern w:val="0"/>
                <w:sz w:val="21"/>
                <w:szCs w:val="21"/>
                <w:rtl/>
                <w14:ligatures w14:val="none"/>
              </w:rPr>
              <w:t>المهندسيين</w:t>
            </w:r>
            <w:proofErr w:type="spellEnd"/>
            <w:r w:rsidRPr="00157DBD">
              <w:rPr>
                <w:rFonts w:ascii="droidkufi" w:eastAsia="Times New Roman" w:hAnsi="droidkufi" w:cs="Tajawal"/>
                <w:color w:val="000000"/>
                <w:kern w:val="0"/>
                <w:sz w:val="21"/>
                <w:szCs w:val="21"/>
                <w:rtl/>
                <w14:ligatures w14:val="none"/>
              </w:rPr>
              <w:t xml:space="preserve"> العراقيين.</w:t>
            </w:r>
          </w:p>
        </w:tc>
      </w:tr>
      <w:tr w:rsidR="00157DBD" w:rsidRPr="00157DBD" w14:paraId="0602EC4C"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0FA69DDD"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b/>
                <w:bCs/>
                <w:color w:val="000000"/>
                <w:kern w:val="0"/>
                <w:sz w:val="21"/>
                <w:szCs w:val="21"/>
                <w:rtl/>
                <w14:ligatures w14:val="none"/>
              </w:rPr>
              <w:t>نظريات التصميم المعماري</w:t>
            </w:r>
          </w:p>
        </w:tc>
      </w:tr>
      <w:tr w:rsidR="00157DBD" w:rsidRPr="00157DBD" w14:paraId="0ABD5B07" w14:textId="77777777" w:rsidTr="00157DBD">
        <w:trPr>
          <w:trHeight w:val="323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392FDE40"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lastRenderedPageBreak/>
              <w:t xml:space="preserve">يهدف موضوع فلسفة العمارة تحقيق عدة اهداف معرفية مهمة لطالب الدراسات الاولية في السنة الدراسية الخامسة وكما </w:t>
            </w:r>
            <w:proofErr w:type="gramStart"/>
            <w:r w:rsidRPr="00157DBD">
              <w:rPr>
                <w:rFonts w:ascii="droidkufi" w:eastAsia="Times New Roman" w:hAnsi="droidkufi" w:cs="Tajawal"/>
                <w:color w:val="000000"/>
                <w:kern w:val="0"/>
                <w:sz w:val="21"/>
                <w:szCs w:val="21"/>
                <w:rtl/>
                <w14:ligatures w14:val="none"/>
              </w:rPr>
              <w:t>يأتي:-</w:t>
            </w:r>
            <w:proofErr w:type="gramEnd"/>
          </w:p>
          <w:p w14:paraId="7C6E1164" w14:textId="77777777" w:rsidR="00157DBD" w:rsidRPr="00157DBD" w:rsidRDefault="00157DBD" w:rsidP="00157DBD">
            <w:pPr>
              <w:numPr>
                <w:ilvl w:val="0"/>
                <w:numId w:val="1"/>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تعريف الطالب </w:t>
            </w:r>
            <w:proofErr w:type="spellStart"/>
            <w:r w:rsidRPr="00157DBD">
              <w:rPr>
                <w:rFonts w:ascii="droidkufi" w:eastAsia="Times New Roman" w:hAnsi="droidkufi" w:cs="Tajawal"/>
                <w:color w:val="000000"/>
                <w:kern w:val="0"/>
                <w:sz w:val="21"/>
                <w:szCs w:val="21"/>
                <w:rtl/>
                <w14:ligatures w14:val="none"/>
              </w:rPr>
              <w:t>بالاسس</w:t>
            </w:r>
            <w:proofErr w:type="spellEnd"/>
            <w:r w:rsidRPr="00157DBD">
              <w:rPr>
                <w:rFonts w:ascii="droidkufi" w:eastAsia="Times New Roman" w:hAnsi="droidkufi" w:cs="Tajawal"/>
                <w:color w:val="000000"/>
                <w:kern w:val="0"/>
                <w:sz w:val="21"/>
                <w:szCs w:val="21"/>
                <w:rtl/>
                <w14:ligatures w14:val="none"/>
              </w:rPr>
              <w:t xml:space="preserve"> العامة للتفكير، والتي تتناولها الفلسفة في مباحثها الرئيسة الثلاث وهي مبحث المعرفة، الوجود، القيمة.</w:t>
            </w:r>
          </w:p>
          <w:p w14:paraId="259E28DC" w14:textId="77777777" w:rsidR="00157DBD" w:rsidRPr="00157DBD" w:rsidRDefault="00157DBD" w:rsidP="00157DBD">
            <w:pPr>
              <w:numPr>
                <w:ilvl w:val="0"/>
                <w:numId w:val="1"/>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تعريف الطالب بالمحاور الرئيسة </w:t>
            </w:r>
            <w:proofErr w:type="spellStart"/>
            <w:r w:rsidRPr="00157DBD">
              <w:rPr>
                <w:rFonts w:ascii="droidkufi" w:eastAsia="Times New Roman" w:hAnsi="droidkufi" w:cs="Tajawal"/>
                <w:color w:val="000000"/>
                <w:kern w:val="0"/>
                <w:sz w:val="21"/>
                <w:szCs w:val="21"/>
                <w:rtl/>
                <w14:ligatures w14:val="none"/>
              </w:rPr>
              <w:t>لاراء</w:t>
            </w:r>
            <w:proofErr w:type="spellEnd"/>
            <w:r w:rsidRPr="00157DBD">
              <w:rPr>
                <w:rFonts w:ascii="droidkufi" w:eastAsia="Times New Roman" w:hAnsi="droidkufi" w:cs="Tajawal"/>
                <w:color w:val="000000"/>
                <w:kern w:val="0"/>
                <w:sz w:val="21"/>
                <w:szCs w:val="21"/>
                <w:rtl/>
                <w14:ligatures w14:val="none"/>
              </w:rPr>
              <w:t xml:space="preserve"> الفلاسفة والمفكرين والمعماريين في الجوانب المعمارية الرئيسة وارتباطها بمفاهيم فلسفة التاريخ والحضارة والمدينة والمجتمع.</w:t>
            </w:r>
          </w:p>
          <w:p w14:paraId="3F923964" w14:textId="77777777" w:rsidR="00157DBD" w:rsidRPr="00157DBD" w:rsidRDefault="00157DBD" w:rsidP="00157DBD">
            <w:pPr>
              <w:numPr>
                <w:ilvl w:val="0"/>
                <w:numId w:val="1"/>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تعريف الطالب بنظريات التصميم المنهجي العقلاني.</w:t>
            </w:r>
          </w:p>
          <w:p w14:paraId="67B09761" w14:textId="77777777" w:rsidR="00157DBD" w:rsidRPr="00157DBD" w:rsidRDefault="00157DBD" w:rsidP="00157DBD">
            <w:pPr>
              <w:numPr>
                <w:ilvl w:val="0"/>
                <w:numId w:val="1"/>
              </w:numPr>
              <w:bidi/>
              <w:spacing w:after="0" w:line="240" w:lineRule="auto"/>
              <w:ind w:left="945"/>
              <w:jc w:val="center"/>
              <w:rPr>
                <w:rFonts w:ascii="Tajawal" w:eastAsia="Times New Roman" w:hAnsi="Tajawal" w:cs="Tajawal"/>
                <w:color w:val="000000"/>
                <w:kern w:val="0"/>
                <w:sz w:val="24"/>
                <w:szCs w:val="24"/>
                <w:rtl/>
                <w14:ligatures w14:val="none"/>
              </w:rPr>
            </w:pPr>
            <w:proofErr w:type="spellStart"/>
            <w:r w:rsidRPr="00157DBD">
              <w:rPr>
                <w:rFonts w:ascii="droidkufi" w:eastAsia="Times New Roman" w:hAnsi="droidkufi" w:cs="Tajawal"/>
                <w:color w:val="000000"/>
                <w:kern w:val="0"/>
                <w:sz w:val="21"/>
                <w:szCs w:val="21"/>
                <w:rtl/>
                <w14:ligatures w14:val="none"/>
              </w:rPr>
              <w:t>إرتباط</w:t>
            </w:r>
            <w:proofErr w:type="spellEnd"/>
            <w:r w:rsidRPr="00157DBD">
              <w:rPr>
                <w:rFonts w:ascii="droidkufi" w:eastAsia="Times New Roman" w:hAnsi="droidkufi" w:cs="Tajawal"/>
                <w:color w:val="000000"/>
                <w:kern w:val="0"/>
                <w:sz w:val="21"/>
                <w:szCs w:val="21"/>
                <w:rtl/>
                <w14:ligatures w14:val="none"/>
              </w:rPr>
              <w:t xml:space="preserve"> الدرس بنظريات التصميم الحدسي.</w:t>
            </w:r>
          </w:p>
          <w:p w14:paraId="7CAC4D36" w14:textId="77777777" w:rsidR="00157DBD" w:rsidRPr="00157DBD" w:rsidRDefault="00157DBD" w:rsidP="00157DBD">
            <w:pPr>
              <w:numPr>
                <w:ilvl w:val="0"/>
                <w:numId w:val="1"/>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التطرق للنظريات الدلالية </w:t>
            </w:r>
            <w:proofErr w:type="spellStart"/>
            <w:r w:rsidRPr="00157DBD">
              <w:rPr>
                <w:rFonts w:ascii="droidkufi" w:eastAsia="Times New Roman" w:hAnsi="droidkufi" w:cs="Tajawal"/>
                <w:color w:val="000000"/>
                <w:kern w:val="0"/>
                <w:sz w:val="21"/>
                <w:szCs w:val="21"/>
                <w:rtl/>
                <w14:ligatures w14:val="none"/>
              </w:rPr>
              <w:t>والسميائية</w:t>
            </w:r>
            <w:proofErr w:type="spellEnd"/>
            <w:r w:rsidRPr="00157DBD">
              <w:rPr>
                <w:rFonts w:ascii="droidkufi" w:eastAsia="Times New Roman" w:hAnsi="droidkufi" w:cs="Tajawal"/>
                <w:color w:val="000000"/>
                <w:kern w:val="0"/>
                <w:sz w:val="21"/>
                <w:szCs w:val="21"/>
                <w:rtl/>
                <w14:ligatures w14:val="none"/>
              </w:rPr>
              <w:t>.</w:t>
            </w:r>
          </w:p>
          <w:p w14:paraId="791AFCCF" w14:textId="77777777" w:rsidR="00157DBD" w:rsidRPr="00157DBD" w:rsidRDefault="00157DBD" w:rsidP="00157DBD">
            <w:pPr>
              <w:numPr>
                <w:ilvl w:val="0"/>
                <w:numId w:val="1"/>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التعرف على تأثيرات التحليل النفسي على المصمم والمتلقي.</w:t>
            </w:r>
          </w:p>
          <w:p w14:paraId="1B619C7E" w14:textId="77777777" w:rsidR="00157DBD" w:rsidRPr="00157DBD" w:rsidRDefault="00157DBD" w:rsidP="00157DBD">
            <w:pPr>
              <w:numPr>
                <w:ilvl w:val="0"/>
                <w:numId w:val="1"/>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التعرض للتوجهات النظرية للعمارة العالمية والمحلية المعاصرة.       </w:t>
            </w:r>
          </w:p>
        </w:tc>
      </w:tr>
      <w:tr w:rsidR="00157DBD" w:rsidRPr="00157DBD" w14:paraId="1AF75284"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1D59D970"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b/>
                <w:bCs/>
                <w:color w:val="000000"/>
                <w:kern w:val="0"/>
                <w:sz w:val="21"/>
                <w:szCs w:val="21"/>
                <w:rtl/>
                <w14:ligatures w14:val="none"/>
              </w:rPr>
              <w:t>نظريات النقد المعماري</w:t>
            </w:r>
          </w:p>
        </w:tc>
      </w:tr>
      <w:tr w:rsidR="00157DBD" w:rsidRPr="00157DBD" w14:paraId="3A38BAE2" w14:textId="77777777" w:rsidTr="00157DBD">
        <w:trPr>
          <w:trHeight w:val="1008"/>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1D25479B"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يتم التركيز في هذه المادة على اطلاع الطلبة على </w:t>
            </w:r>
            <w:proofErr w:type="gramStart"/>
            <w:r w:rsidRPr="00157DBD">
              <w:rPr>
                <w:rFonts w:ascii="droidkufi" w:eastAsia="Times New Roman" w:hAnsi="droidkufi" w:cs="Tajawal"/>
                <w:color w:val="000000"/>
                <w:kern w:val="0"/>
                <w:sz w:val="21"/>
                <w:szCs w:val="21"/>
                <w:rtl/>
                <w14:ligatures w14:val="none"/>
              </w:rPr>
              <w:t>ابرز</w:t>
            </w:r>
            <w:proofErr w:type="gramEnd"/>
            <w:r w:rsidRPr="00157DBD">
              <w:rPr>
                <w:rFonts w:ascii="droidkufi" w:eastAsia="Times New Roman" w:hAnsi="droidkufi" w:cs="Tajawal"/>
                <w:color w:val="000000"/>
                <w:kern w:val="0"/>
                <w:sz w:val="21"/>
                <w:szCs w:val="21"/>
                <w:rtl/>
                <w14:ligatures w14:val="none"/>
              </w:rPr>
              <w:t xml:space="preserve"> نظريات النقد المؤثرة في مجال العمارة وايضاح نوع ارتباط كل من "نظرية النقد" " ونظرية" " ونظرية العمارة " " </w:t>
            </w:r>
            <w:proofErr w:type="spellStart"/>
            <w:r w:rsidRPr="00157DBD">
              <w:rPr>
                <w:rFonts w:ascii="droidkufi" w:eastAsia="Times New Roman" w:hAnsi="droidkufi" w:cs="Tajawal"/>
                <w:color w:val="000000"/>
                <w:kern w:val="0"/>
                <w:sz w:val="21"/>
                <w:szCs w:val="21"/>
                <w:rtl/>
                <w14:ligatures w14:val="none"/>
              </w:rPr>
              <w:t>والفسلفة</w:t>
            </w:r>
            <w:proofErr w:type="spellEnd"/>
            <w:r w:rsidRPr="00157DBD">
              <w:rPr>
                <w:rFonts w:ascii="droidkufi" w:eastAsia="Times New Roman" w:hAnsi="droidkufi" w:cs="Tajawal"/>
                <w:color w:val="000000"/>
                <w:kern w:val="0"/>
                <w:sz w:val="21"/>
                <w:szCs w:val="21"/>
                <w:rtl/>
                <w14:ligatures w14:val="none"/>
              </w:rPr>
              <w:t xml:space="preserve"> " وتحليل العلاقات بين الجوانب الثلاثة السابقة وايضاح كيفية تأثيرها. فعل الانتاج: "</w:t>
            </w:r>
            <w:proofErr w:type="spellStart"/>
            <w:r w:rsidRPr="00157DBD">
              <w:rPr>
                <w:rFonts w:ascii="droidkufi" w:eastAsia="Times New Roman" w:hAnsi="droidkufi" w:cs="Tajawal"/>
                <w:color w:val="000000"/>
                <w:kern w:val="0"/>
                <w:sz w:val="21"/>
                <w:szCs w:val="21"/>
                <w:rtl/>
                <w14:ligatures w14:val="none"/>
              </w:rPr>
              <w:t>التاليف</w:t>
            </w:r>
            <w:proofErr w:type="spellEnd"/>
            <w:r w:rsidRPr="00157DBD">
              <w:rPr>
                <w:rFonts w:ascii="droidkufi" w:eastAsia="Times New Roman" w:hAnsi="droidkufi" w:cs="Tajawal"/>
                <w:color w:val="000000"/>
                <w:kern w:val="0"/>
                <w:sz w:val="21"/>
                <w:szCs w:val="21"/>
                <w:rtl/>
                <w14:ligatures w14:val="none"/>
              </w:rPr>
              <w:t>، التكوين، التصميم، والتركيز" على تأثيرها في التصميم المعماري.</w:t>
            </w:r>
          </w:p>
        </w:tc>
      </w:tr>
      <w:tr w:rsidR="00157DBD" w:rsidRPr="00157DBD" w14:paraId="47749CA1"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2D664512"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b/>
                <w:bCs/>
                <w:color w:val="000000"/>
                <w:kern w:val="0"/>
                <w:sz w:val="21"/>
                <w:szCs w:val="21"/>
                <w:rtl/>
                <w14:ligatures w14:val="none"/>
              </w:rPr>
              <w:t>عمارة عراقية معاصرة</w:t>
            </w:r>
          </w:p>
        </w:tc>
      </w:tr>
      <w:tr w:rsidR="00157DBD" w:rsidRPr="00157DBD" w14:paraId="0A339822" w14:textId="77777777" w:rsidTr="00157DBD">
        <w:trPr>
          <w:trHeight w:val="666"/>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FA9A534"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يركز الموضوع على دراسة العمارة العراقية منذ أواخر القرن التاسع عشر وحتى نهاية القرن العشرين مع التركيز على اهم التحولات المفاهيمية والتطبيقية خلال العقود المختلقة للمرحلة وتشخيص أهم المؤثرات الحضارية والثقافية التي رافقتها تلك التحولات.</w:t>
            </w:r>
          </w:p>
        </w:tc>
      </w:tr>
      <w:tr w:rsidR="00157DBD" w:rsidRPr="00157DBD" w14:paraId="14326834"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785FF477"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b/>
                <w:bCs/>
                <w:color w:val="000000"/>
                <w:kern w:val="0"/>
                <w:sz w:val="21"/>
                <w:szCs w:val="21"/>
                <w:rtl/>
                <w14:ligatures w14:val="none"/>
              </w:rPr>
              <w:t>عمارة عربية معاصرة</w:t>
            </w:r>
          </w:p>
        </w:tc>
      </w:tr>
      <w:tr w:rsidR="00157DBD" w:rsidRPr="00157DBD" w14:paraId="26AD950C" w14:textId="77777777" w:rsidTr="00157DBD">
        <w:trPr>
          <w:trHeight w:val="1658"/>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6CD446D0"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يهدف الدرس الى تنمية وتوسيع القاعدة المعلوماتية للطالب بواقع العمارة العربية الاسلامية المعاصرة على مستوى الفكر </w:t>
            </w:r>
            <w:proofErr w:type="spellStart"/>
            <w:r w:rsidRPr="00157DBD">
              <w:rPr>
                <w:rFonts w:ascii="droidkufi" w:eastAsia="Times New Roman" w:hAnsi="droidkufi" w:cs="Tajawal"/>
                <w:color w:val="000000"/>
                <w:kern w:val="0"/>
                <w:sz w:val="21"/>
                <w:szCs w:val="21"/>
                <w:rtl/>
                <w14:ligatures w14:val="none"/>
              </w:rPr>
              <w:t>والتبيطق</w:t>
            </w:r>
            <w:proofErr w:type="spellEnd"/>
            <w:r w:rsidRPr="00157DBD">
              <w:rPr>
                <w:rFonts w:ascii="droidkufi" w:eastAsia="Times New Roman" w:hAnsi="droidkufi" w:cs="Tajawal"/>
                <w:color w:val="000000"/>
                <w:kern w:val="0"/>
                <w:sz w:val="21"/>
                <w:szCs w:val="21"/>
                <w:rtl/>
                <w14:ligatures w14:val="none"/>
              </w:rPr>
              <w:t xml:space="preserve"> </w:t>
            </w:r>
            <w:proofErr w:type="gramStart"/>
            <w:r w:rsidRPr="00157DBD">
              <w:rPr>
                <w:rFonts w:ascii="droidkufi" w:eastAsia="Times New Roman" w:hAnsi="droidkufi" w:cs="Tajawal"/>
                <w:color w:val="000000"/>
                <w:kern w:val="0"/>
                <w:sz w:val="21"/>
                <w:szCs w:val="21"/>
                <w:rtl/>
                <w14:ligatures w14:val="none"/>
              </w:rPr>
              <w:t>( وبشكل</w:t>
            </w:r>
            <w:proofErr w:type="gramEnd"/>
            <w:r w:rsidRPr="00157DBD">
              <w:rPr>
                <w:rFonts w:ascii="droidkufi" w:eastAsia="Times New Roman" w:hAnsi="droidkufi" w:cs="Tajawal"/>
                <w:color w:val="000000"/>
                <w:kern w:val="0"/>
                <w:sz w:val="21"/>
                <w:szCs w:val="21"/>
                <w:rtl/>
                <w14:ligatures w14:val="none"/>
              </w:rPr>
              <w:t xml:space="preserve"> موجز جدا ) فصل دراسي واحد حيث يتعرف الطالب على نظريات العمارة الاسلامية المعاصرة </w:t>
            </w:r>
            <w:proofErr w:type="spellStart"/>
            <w:r w:rsidRPr="00157DBD">
              <w:rPr>
                <w:rFonts w:ascii="droidkufi" w:eastAsia="Times New Roman" w:hAnsi="droidkufi" w:cs="Tajawal"/>
                <w:color w:val="000000"/>
                <w:kern w:val="0"/>
                <w:sz w:val="21"/>
                <w:szCs w:val="21"/>
                <w:rtl/>
                <w14:ligatures w14:val="none"/>
              </w:rPr>
              <w:t>والتوجيةات</w:t>
            </w:r>
            <w:proofErr w:type="spellEnd"/>
            <w:r w:rsidRPr="00157DBD">
              <w:rPr>
                <w:rFonts w:ascii="droidkufi" w:eastAsia="Times New Roman" w:hAnsi="droidkufi" w:cs="Tajawal"/>
                <w:color w:val="000000"/>
                <w:kern w:val="0"/>
                <w:sz w:val="21"/>
                <w:szCs w:val="21"/>
                <w:rtl/>
                <w14:ligatures w14:val="none"/>
              </w:rPr>
              <w:t xml:space="preserve"> الحديثة للمعماريين العرب وتحليل المشكلات </w:t>
            </w:r>
            <w:proofErr w:type="spellStart"/>
            <w:r w:rsidRPr="00157DBD">
              <w:rPr>
                <w:rFonts w:ascii="droidkufi" w:eastAsia="Times New Roman" w:hAnsi="droidkufi" w:cs="Tajawal"/>
                <w:color w:val="000000"/>
                <w:kern w:val="0"/>
                <w:sz w:val="21"/>
                <w:szCs w:val="21"/>
                <w:rtl/>
                <w14:ligatures w14:val="none"/>
              </w:rPr>
              <w:t>المعاصره</w:t>
            </w:r>
            <w:proofErr w:type="spellEnd"/>
            <w:r w:rsidRPr="00157DBD">
              <w:rPr>
                <w:rFonts w:ascii="droidkufi" w:eastAsia="Times New Roman" w:hAnsi="droidkufi" w:cs="Tajawal"/>
                <w:color w:val="000000"/>
                <w:kern w:val="0"/>
                <w:sz w:val="21"/>
                <w:szCs w:val="21"/>
                <w:rtl/>
                <w14:ligatures w14:val="none"/>
              </w:rPr>
              <w:t xml:space="preserve"> للمدن والعمارة الاسلامية و اساليب حل اشكالية الربط بين التراث </w:t>
            </w:r>
            <w:proofErr w:type="spellStart"/>
            <w:r w:rsidRPr="00157DBD">
              <w:rPr>
                <w:rFonts w:ascii="droidkufi" w:eastAsia="Times New Roman" w:hAnsi="droidkufi" w:cs="Tajawal"/>
                <w:color w:val="000000"/>
                <w:kern w:val="0"/>
                <w:sz w:val="21"/>
                <w:szCs w:val="21"/>
                <w:rtl/>
                <w14:ligatures w14:val="none"/>
              </w:rPr>
              <w:t>والمعاصره</w:t>
            </w:r>
            <w:proofErr w:type="spellEnd"/>
            <w:r w:rsidRPr="00157DBD">
              <w:rPr>
                <w:rFonts w:ascii="droidkufi" w:eastAsia="Times New Roman" w:hAnsi="droidkufi" w:cs="Tajawal"/>
                <w:color w:val="000000"/>
                <w:kern w:val="0"/>
                <w:sz w:val="21"/>
                <w:szCs w:val="21"/>
                <w:rtl/>
                <w14:ligatures w14:val="none"/>
              </w:rPr>
              <w:t xml:space="preserve"> لتحقيق عمارة تحمل معاني الارث التاريخي والحضاري والفـكري ومواكبة التقنيات المعاصرة والمتغيرات الحديثة في المجتمع العربي الاسلامي. </w:t>
            </w:r>
            <w:proofErr w:type="spellStart"/>
            <w:r w:rsidRPr="00157DBD">
              <w:rPr>
                <w:rFonts w:ascii="droidkufi" w:eastAsia="Times New Roman" w:hAnsi="droidkufi" w:cs="Tajawal"/>
                <w:color w:val="000000"/>
                <w:kern w:val="0"/>
                <w:sz w:val="21"/>
                <w:szCs w:val="21"/>
                <w:rtl/>
                <w14:ligatures w14:val="none"/>
              </w:rPr>
              <w:t>ةيتم</w:t>
            </w:r>
            <w:proofErr w:type="spellEnd"/>
            <w:r w:rsidRPr="00157DBD">
              <w:rPr>
                <w:rFonts w:ascii="droidkufi" w:eastAsia="Times New Roman" w:hAnsi="droidkufi" w:cs="Tajawal"/>
                <w:color w:val="000000"/>
                <w:kern w:val="0"/>
                <w:sz w:val="21"/>
                <w:szCs w:val="21"/>
                <w:rtl/>
                <w14:ligatures w14:val="none"/>
              </w:rPr>
              <w:t xml:space="preserve"> ما سبق عن طريق تعرف الطالب على عدد من المعماريين العرب المتميزين والنتاج المعماري المعاصر وعرض عدد من النتاجات المعاصرة والتوجهات التي تعبر عنها وذلك في مختلف الدول العربية.</w:t>
            </w:r>
          </w:p>
        </w:tc>
      </w:tr>
      <w:tr w:rsidR="00157DBD" w:rsidRPr="00157DBD" w14:paraId="488FECA7" w14:textId="77777777" w:rsidTr="00157DBD">
        <w:trPr>
          <w:trHeight w:val="34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6C3BAE05" w14:textId="77777777" w:rsidR="00157DBD" w:rsidRPr="00157DBD" w:rsidRDefault="00157DBD" w:rsidP="00157DBD">
            <w:pPr>
              <w:bidi/>
              <w:spacing w:after="0" w:line="240" w:lineRule="auto"/>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b/>
                <w:bCs/>
                <w:color w:val="000000"/>
                <w:kern w:val="0"/>
                <w:sz w:val="21"/>
                <w:szCs w:val="21"/>
                <w:rtl/>
                <w14:ligatures w14:val="none"/>
              </w:rPr>
              <w:t>فلسفة عمارة</w:t>
            </w:r>
          </w:p>
        </w:tc>
      </w:tr>
      <w:tr w:rsidR="00157DBD" w:rsidRPr="00157DBD" w14:paraId="59ACF7E3" w14:textId="77777777" w:rsidTr="00157DBD">
        <w:trPr>
          <w:trHeight w:val="4171"/>
          <w:jc w:val="center"/>
        </w:trPr>
        <w:tc>
          <w:tcPr>
            <w:tcW w:w="1065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4769FCE" w14:textId="77777777" w:rsidR="00157DBD" w:rsidRPr="00157DBD" w:rsidRDefault="00157DBD" w:rsidP="00157DBD">
            <w:pPr>
              <w:numPr>
                <w:ilvl w:val="0"/>
                <w:numId w:val="2"/>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lastRenderedPageBreak/>
              <w:t xml:space="preserve">تعريف الطالب </w:t>
            </w:r>
            <w:proofErr w:type="spellStart"/>
            <w:r w:rsidRPr="00157DBD">
              <w:rPr>
                <w:rFonts w:ascii="droidkufi" w:eastAsia="Times New Roman" w:hAnsi="droidkufi" w:cs="Tajawal"/>
                <w:color w:val="000000"/>
                <w:kern w:val="0"/>
                <w:sz w:val="21"/>
                <w:szCs w:val="21"/>
                <w:rtl/>
                <w14:ligatures w14:val="none"/>
              </w:rPr>
              <w:t>بالاسس</w:t>
            </w:r>
            <w:proofErr w:type="spellEnd"/>
            <w:r w:rsidRPr="00157DBD">
              <w:rPr>
                <w:rFonts w:ascii="droidkufi" w:eastAsia="Times New Roman" w:hAnsi="droidkufi" w:cs="Tajawal"/>
                <w:color w:val="000000"/>
                <w:kern w:val="0"/>
                <w:sz w:val="21"/>
                <w:szCs w:val="21"/>
                <w:rtl/>
                <w14:ligatures w14:val="none"/>
              </w:rPr>
              <w:t xml:space="preserve"> العامة للتفكير، والتي تتناولها الفلسفة في مباحثها الرئيسة الثلاث وهي مبحث المعرفة، الوجود، القيمة، وذلك باعتبار العمارة </w:t>
            </w:r>
            <w:proofErr w:type="gramStart"/>
            <w:r w:rsidRPr="00157DBD">
              <w:rPr>
                <w:rFonts w:ascii="droidkufi" w:eastAsia="Times New Roman" w:hAnsi="droidkufi" w:cs="Tajawal"/>
                <w:color w:val="000000"/>
                <w:kern w:val="0"/>
                <w:sz w:val="21"/>
                <w:szCs w:val="21"/>
                <w:rtl/>
                <w14:ligatures w14:val="none"/>
              </w:rPr>
              <w:t>احد</w:t>
            </w:r>
            <w:proofErr w:type="gramEnd"/>
            <w:r w:rsidRPr="00157DBD">
              <w:rPr>
                <w:rFonts w:ascii="droidkufi" w:eastAsia="Times New Roman" w:hAnsi="droidkufi" w:cs="Tajawal"/>
                <w:color w:val="000000"/>
                <w:kern w:val="0"/>
                <w:sz w:val="21"/>
                <w:szCs w:val="21"/>
                <w:rtl/>
                <w14:ligatures w14:val="none"/>
              </w:rPr>
              <w:t xml:space="preserve"> المجالات المعرفية التي تدرس عبر مباحث الفلسفة.</w:t>
            </w:r>
          </w:p>
          <w:p w14:paraId="65DD7335" w14:textId="77777777" w:rsidR="00157DBD" w:rsidRPr="00157DBD" w:rsidRDefault="00157DBD" w:rsidP="00157DBD">
            <w:pPr>
              <w:numPr>
                <w:ilvl w:val="0"/>
                <w:numId w:val="2"/>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تعريف الطالب بالمحاور الرئيسة </w:t>
            </w:r>
            <w:proofErr w:type="spellStart"/>
            <w:r w:rsidRPr="00157DBD">
              <w:rPr>
                <w:rFonts w:ascii="droidkufi" w:eastAsia="Times New Roman" w:hAnsi="droidkufi" w:cs="Tajawal"/>
                <w:color w:val="000000"/>
                <w:kern w:val="0"/>
                <w:sz w:val="21"/>
                <w:szCs w:val="21"/>
                <w:rtl/>
                <w14:ligatures w14:val="none"/>
              </w:rPr>
              <w:t>لاراء</w:t>
            </w:r>
            <w:proofErr w:type="spellEnd"/>
            <w:r w:rsidRPr="00157DBD">
              <w:rPr>
                <w:rFonts w:ascii="droidkufi" w:eastAsia="Times New Roman" w:hAnsi="droidkufi" w:cs="Tajawal"/>
                <w:color w:val="000000"/>
                <w:kern w:val="0"/>
                <w:sz w:val="21"/>
                <w:szCs w:val="21"/>
                <w:rtl/>
                <w14:ligatures w14:val="none"/>
              </w:rPr>
              <w:t xml:space="preserve"> الفلاسفة والمفكرين والمعماريين في الجوانب المعمارية الرئيسة وارتباطها بمفاهيم فلسفة التاريخ والحضارة والمدينة والمجتمع.</w:t>
            </w:r>
          </w:p>
          <w:p w14:paraId="7B999C21" w14:textId="77777777" w:rsidR="00157DBD" w:rsidRPr="00157DBD" w:rsidRDefault="00157DBD" w:rsidP="00157DBD">
            <w:pPr>
              <w:numPr>
                <w:ilvl w:val="0"/>
                <w:numId w:val="2"/>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تعريف الطالب بالمحاور الرئيسة للفلسفة العربية الاسلامية والاغريقية والأوروبية الحديثة والمعاصرة لتكون بمثابة مؤشرات عامة تفيد في تنظيم المعلومات المعمارية على المستوى التاريخي والفكري العام، زيادة الى تعريف الطالب على منزلة الفلسفة العربية الإسلامية بين الفلسفات الأخرى لتعزيز مكانتها وتفعيل حضورها في الواقع.</w:t>
            </w:r>
          </w:p>
          <w:p w14:paraId="4F07A30F" w14:textId="77777777" w:rsidR="00157DBD" w:rsidRPr="00157DBD" w:rsidRDefault="00157DBD" w:rsidP="00157DBD">
            <w:pPr>
              <w:numPr>
                <w:ilvl w:val="0"/>
                <w:numId w:val="2"/>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 xml:space="preserve">تعريف الطالب </w:t>
            </w:r>
            <w:proofErr w:type="spellStart"/>
            <w:r w:rsidRPr="00157DBD">
              <w:rPr>
                <w:rFonts w:ascii="droidkufi" w:eastAsia="Times New Roman" w:hAnsi="droidkufi" w:cs="Tajawal"/>
                <w:color w:val="000000"/>
                <w:kern w:val="0"/>
                <w:sz w:val="21"/>
                <w:szCs w:val="21"/>
                <w:rtl/>
                <w14:ligatures w14:val="none"/>
              </w:rPr>
              <w:t>بالاسس</w:t>
            </w:r>
            <w:proofErr w:type="spellEnd"/>
            <w:r w:rsidRPr="00157DBD">
              <w:rPr>
                <w:rFonts w:ascii="droidkufi" w:eastAsia="Times New Roman" w:hAnsi="droidkufi" w:cs="Tajawal"/>
                <w:color w:val="000000"/>
                <w:kern w:val="0"/>
                <w:sz w:val="21"/>
                <w:szCs w:val="21"/>
                <w:rtl/>
                <w14:ligatures w14:val="none"/>
              </w:rPr>
              <w:t xml:space="preserve"> العامة لفلسفة المفهوم والمفهوم المعماري باعتباره المفردة الرئيسة في النتاج المعماري.</w:t>
            </w:r>
          </w:p>
          <w:p w14:paraId="73076710" w14:textId="77777777" w:rsidR="00157DBD" w:rsidRPr="00157DBD" w:rsidRDefault="00157DBD" w:rsidP="00157DBD">
            <w:pPr>
              <w:numPr>
                <w:ilvl w:val="0"/>
                <w:numId w:val="2"/>
              </w:numPr>
              <w:bidi/>
              <w:spacing w:after="0" w:line="240" w:lineRule="auto"/>
              <w:ind w:left="945"/>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تعريف الطالب بالموقف الفلسفي في العمارة المعاصرة والعمارة العراقية المعاصرة بغية تحقيق التواصل الفكري، والمحافظة على خصوصية الفكر العربي الإسلامي.</w:t>
            </w:r>
          </w:p>
          <w:p w14:paraId="7E09D13C" w14:textId="77777777" w:rsidR="00157DBD" w:rsidRPr="00157DBD" w:rsidRDefault="00157DBD" w:rsidP="00157DBD">
            <w:pPr>
              <w:bidi/>
              <w:spacing w:after="0" w:line="240" w:lineRule="auto"/>
              <w:ind w:left="60"/>
              <w:jc w:val="center"/>
              <w:rPr>
                <w:rFonts w:ascii="Tajawal" w:eastAsia="Times New Roman" w:hAnsi="Tajawal" w:cs="Tajawal"/>
                <w:color w:val="000000"/>
                <w:kern w:val="0"/>
                <w:sz w:val="24"/>
                <w:szCs w:val="24"/>
                <w:rtl/>
                <w14:ligatures w14:val="none"/>
              </w:rPr>
            </w:pPr>
            <w:r w:rsidRPr="00157DBD">
              <w:rPr>
                <w:rFonts w:ascii="droidkufi" w:eastAsia="Times New Roman" w:hAnsi="droidkufi" w:cs="Tajawal"/>
                <w:color w:val="000000"/>
                <w:kern w:val="0"/>
                <w:sz w:val="21"/>
                <w:szCs w:val="21"/>
                <w:rtl/>
                <w14:ligatures w14:val="none"/>
              </w:rPr>
              <w:t>يرتبط الدرس بالمحاور الرئيسة لدروس أخرى يدرسها الطالب في هذه المرحلة كمادة نظرية العمارة ونظريات النقد المعماري، ومادة العمارة العراقية المعاصرة والعمارة العربية المعاصرة.</w:t>
            </w:r>
          </w:p>
        </w:tc>
      </w:tr>
    </w:tbl>
    <w:p w14:paraId="55F6234E" w14:textId="77777777" w:rsidR="009F0BC3" w:rsidRDefault="009F0BC3"/>
    <w:sectPr w:rsidR="009F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panose1 w:val="00000500000000000000"/>
    <w:charset w:val="00"/>
    <w:family w:val="auto"/>
    <w:pitch w:val="variable"/>
    <w:sig w:usb0="8000202F" w:usb1="9000204A" w:usb2="00000008" w:usb3="00000000" w:csb0="00000041" w:csb1="00000000"/>
  </w:font>
  <w:font w:name="droidkuf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46927"/>
    <w:multiLevelType w:val="multilevel"/>
    <w:tmpl w:val="716A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F96198"/>
    <w:multiLevelType w:val="multilevel"/>
    <w:tmpl w:val="7D60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085993">
    <w:abstractNumId w:val="0"/>
  </w:num>
  <w:num w:numId="2" w16cid:durableId="78790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74"/>
    <w:rsid w:val="00157DBD"/>
    <w:rsid w:val="004B494D"/>
    <w:rsid w:val="009F0BC3"/>
    <w:rsid w:val="00A163A0"/>
    <w:rsid w:val="00B46A74"/>
    <w:rsid w:val="00F65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5A5A9-4740-413B-AC6A-4EF074E6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dunya</dc:creator>
  <cp:keywords/>
  <dc:description/>
  <cp:lastModifiedBy>Windows dunya</cp:lastModifiedBy>
  <cp:revision>3</cp:revision>
  <dcterms:created xsi:type="dcterms:W3CDTF">2023-05-18T09:24:00Z</dcterms:created>
  <dcterms:modified xsi:type="dcterms:W3CDTF">2023-05-18T09:28:00Z</dcterms:modified>
</cp:coreProperties>
</file>