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bookmarkStart w:id="0" w:name="_GoBack"/>
      <w:bookmarkEnd w:id="0"/>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B79463B"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04</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Anees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0DC841E0" w:rsidR="00AD31D6" w:rsidRDefault="00B96A15" w:rsidP="00B96A15">
            <w:pPr>
              <w:pStyle w:val="TableParagraph"/>
              <w:rPr>
                <w:sz w:val="28"/>
              </w:rPr>
            </w:pPr>
            <w:r>
              <w:rPr>
                <w:sz w:val="28"/>
              </w:rPr>
              <w:t>Computer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7990F125" w:rsidR="00DC74CD" w:rsidRPr="00743CA8" w:rsidRDefault="00DC74CD" w:rsidP="00DC74CD">
            <w:pPr>
              <w:pStyle w:val="TableParagraph"/>
              <w:numPr>
                <w:ilvl w:val="0"/>
                <w:numId w:val="1"/>
              </w:numPr>
              <w:ind w:left="464"/>
              <w:rPr>
                <w:sz w:val="24"/>
                <w:szCs w:val="24"/>
                <w:lang w:val="en-GB" w:bidi="ar-IQ"/>
              </w:rPr>
            </w:pPr>
            <w:r w:rsidRPr="00743CA8">
              <w:rPr>
                <w:sz w:val="24"/>
                <w:szCs w:val="24"/>
              </w:rPr>
              <w:t>Preparing the student scientifically to work in the field of computer engineering</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77777777" w:rsidR="00DC74CD" w:rsidRPr="00DC74CD" w:rsidRDefault="000E0F50" w:rsidP="00743CA8">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A1- Teaching the student the principles of how computers work and how to deal with computer algorithms.</w:t>
            </w:r>
          </w:p>
          <w:p w14:paraId="08C849FC" w14:textId="77777777" w:rsidR="00DC74CD" w:rsidRPr="00DC74CD" w:rsidRDefault="00DC74CD" w:rsidP="00743CA8">
            <w:pPr>
              <w:pStyle w:val="TableParagraph"/>
              <w:ind w:left="1031" w:hanging="533"/>
              <w:rPr>
                <w:color w:val="221F1F"/>
                <w:sz w:val="28"/>
              </w:rPr>
            </w:pPr>
            <w:r w:rsidRPr="00DC74CD">
              <w:rPr>
                <w:color w:val="221F1F"/>
                <w:sz w:val="28"/>
              </w:rPr>
              <w:t>A2- Enabling students to obtain knowledge and understanding in working on and designing electronic computers.</w:t>
            </w:r>
          </w:p>
          <w:p w14:paraId="06CB0FF5" w14:textId="77777777" w:rsidR="00DC74CD" w:rsidRPr="00DC74CD" w:rsidRDefault="00DC74CD" w:rsidP="00743CA8">
            <w:pPr>
              <w:pStyle w:val="TableParagraph"/>
              <w:ind w:left="1031" w:hanging="533"/>
              <w:rPr>
                <w:color w:val="221F1F"/>
                <w:sz w:val="28"/>
              </w:rPr>
            </w:pPr>
            <w:r w:rsidRPr="00DC74CD">
              <w:rPr>
                <w:color w:val="221F1F"/>
                <w:sz w:val="28"/>
              </w:rPr>
              <w:t>A3- Teaching the student the methods of forming computer parts and their interconnection.</w:t>
            </w:r>
          </w:p>
          <w:p w14:paraId="372FE174" w14:textId="77777777" w:rsidR="00DC74CD" w:rsidRPr="00DC74CD" w:rsidRDefault="00DC74CD" w:rsidP="00743CA8">
            <w:pPr>
              <w:pStyle w:val="TableParagraph"/>
              <w:ind w:left="1031" w:hanging="533"/>
              <w:rPr>
                <w:color w:val="221F1F"/>
                <w:sz w:val="28"/>
              </w:rPr>
            </w:pPr>
            <w:r w:rsidRPr="00DC74CD">
              <w:rPr>
                <w:color w:val="221F1F"/>
                <w:sz w:val="28"/>
              </w:rPr>
              <w:t>A4- Enabling students to obtain knowledge and understanding of designing everything related to computer microprocessors.</w:t>
            </w:r>
          </w:p>
          <w:p w14:paraId="42E8E280" w14:textId="77777777" w:rsidR="00DC74CD" w:rsidRPr="00DC74CD" w:rsidRDefault="00DC74CD" w:rsidP="00743CA8">
            <w:pPr>
              <w:pStyle w:val="TableParagraph"/>
              <w:ind w:left="1031" w:hanging="533"/>
              <w:rPr>
                <w:color w:val="221F1F"/>
                <w:sz w:val="28"/>
              </w:rPr>
            </w:pPr>
            <w:r w:rsidRPr="00DC74CD">
              <w:rPr>
                <w:color w:val="221F1F"/>
                <w:sz w:val="28"/>
              </w:rPr>
              <w:t>A5- Enabling students to obtain knowledge and understanding of diagnosing faults and maintaining various computer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7777777" w:rsidR="00DC74CD" w:rsidRPr="00DC74CD" w:rsidRDefault="00DC74CD" w:rsidP="00743CA8">
            <w:pPr>
              <w:pStyle w:val="TableParagraph"/>
              <w:ind w:left="1031" w:hanging="533"/>
              <w:rPr>
                <w:color w:val="221F1F"/>
                <w:sz w:val="28"/>
              </w:rPr>
            </w:pPr>
            <w:r w:rsidRPr="00DC74CD">
              <w:rPr>
                <w:color w:val="221F1F"/>
                <w:sz w:val="28"/>
              </w:rPr>
              <w:t>B1 - Explanation of computer principles topics by specialists in the subject, with an emphasis on the use of mathematics as a basis for understanding and learning.</w:t>
            </w:r>
          </w:p>
          <w:p w14:paraId="3A4651CA" w14:textId="783B0356" w:rsidR="00AD31D6" w:rsidRDefault="00DC74CD" w:rsidP="00743CA8">
            <w:pPr>
              <w:pStyle w:val="TableParagraph"/>
              <w:ind w:left="1031" w:hanging="533"/>
              <w:rPr>
                <w:sz w:val="28"/>
              </w:rPr>
            </w:pPr>
            <w:r w:rsidRPr="00DC74CD">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77777777" w:rsidR="00DF7668" w:rsidRPr="00DF7668" w:rsidRDefault="00DF7668" w:rsidP="00743CA8">
            <w:pPr>
              <w:pStyle w:val="TableParagraph"/>
              <w:ind w:left="1173" w:hanging="519"/>
              <w:rPr>
                <w:color w:val="221F1F"/>
                <w:sz w:val="28"/>
              </w:rPr>
            </w:pPr>
            <w:r w:rsidRPr="00DF7668">
              <w:rPr>
                <w:color w:val="221F1F"/>
                <w:sz w:val="28"/>
              </w:rPr>
              <w:t>C2- Enabling students to think and analyze topics related to computer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5215137D" w:rsidR="001358EB" w:rsidRDefault="001358EB" w:rsidP="001358EB">
            <w:pPr>
              <w:pStyle w:val="TableParagraph"/>
              <w:rPr>
                <w:sz w:val="26"/>
              </w:rPr>
            </w:pPr>
            <w:r>
              <w:rPr>
                <w:sz w:val="26"/>
              </w:rPr>
              <w:t>1</w:t>
            </w:r>
            <w:r w:rsidRPr="001358EB">
              <w:rPr>
                <w:sz w:val="26"/>
                <w:vertAlign w:val="superscript"/>
              </w:rPr>
              <w:t>st</w:t>
            </w:r>
            <w:r>
              <w:rPr>
                <w:sz w:val="26"/>
              </w:rPr>
              <w:t xml:space="preserve"> Year-1</w:t>
            </w:r>
            <w:r w:rsidRPr="001358EB">
              <w:rPr>
                <w:sz w:val="26"/>
                <w:vertAlign w:val="superscript"/>
              </w:rPr>
              <w:t>st</w:t>
            </w:r>
            <w:r>
              <w:rPr>
                <w:sz w:val="26"/>
              </w:rPr>
              <w:t xml:space="preserve"> Semester</w:t>
            </w:r>
          </w:p>
        </w:tc>
        <w:tc>
          <w:tcPr>
            <w:tcW w:w="1049" w:type="dxa"/>
            <w:shd w:val="clear" w:color="auto" w:fill="A7BEDE"/>
            <w:vAlign w:val="center"/>
          </w:tcPr>
          <w:p w14:paraId="38A1CF5D" w14:textId="6AF2CDA0" w:rsidR="001358EB" w:rsidRDefault="001358EB" w:rsidP="001358EB">
            <w:pPr>
              <w:pStyle w:val="TableParagraph"/>
              <w:jc w:val="center"/>
              <w:rPr>
                <w:sz w:val="24"/>
              </w:rPr>
            </w:pPr>
            <w:r w:rsidRPr="00A75BF9">
              <w:rPr>
                <w:b/>
                <w:bCs/>
                <w:color w:val="000000"/>
                <w:sz w:val="24"/>
                <w:szCs w:val="24"/>
                <w:lang w:val="en-GB"/>
              </w:rPr>
              <w:t>E 103</w:t>
            </w:r>
          </w:p>
        </w:tc>
        <w:tc>
          <w:tcPr>
            <w:tcW w:w="1135" w:type="dxa"/>
            <w:shd w:val="clear" w:color="auto" w:fill="A7BEDE"/>
            <w:vAlign w:val="center"/>
          </w:tcPr>
          <w:p w14:paraId="329CF00A" w14:textId="7FC75175" w:rsidR="001358EB" w:rsidRDefault="001358EB" w:rsidP="001358EB">
            <w:pPr>
              <w:pStyle w:val="TableParagraph"/>
              <w:jc w:val="center"/>
              <w:rPr>
                <w:sz w:val="24"/>
              </w:rPr>
            </w:pPr>
            <w:r w:rsidRPr="00A75BF9">
              <w:rPr>
                <w:rFonts w:ascii="Cambria" w:hAnsi="Cambria"/>
                <w:b/>
                <w:bCs/>
                <w:color w:val="000000"/>
                <w:lang w:bidi="ar-IQ"/>
              </w:rPr>
              <w:t>Physics</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76C1247D"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CAD776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389983CB" w14:textId="474B7CCD"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9E89C4E" w:rsidR="00AD31D6" w:rsidRPr="00A648F8" w:rsidRDefault="00A648F8" w:rsidP="00A648F8">
            <w:pPr>
              <w:pStyle w:val="TableParagraph"/>
              <w:rPr>
                <w:sz w:val="28"/>
              </w:rPr>
            </w:pPr>
            <w:r w:rsidRPr="00A648F8">
              <w:rPr>
                <w:sz w:val="28"/>
                <w:szCs w:val="28"/>
              </w:rPr>
              <w:t>E 103  / Physics</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5276FDAC" w:rsidR="00AD31D6" w:rsidRDefault="00A648F8" w:rsidP="00A648F8">
            <w:pPr>
              <w:pStyle w:val="TableParagraph"/>
              <w:rPr>
                <w:sz w:val="28"/>
              </w:rPr>
            </w:pPr>
            <w:r>
              <w:rPr>
                <w:sz w:val="28"/>
              </w:rPr>
              <w:t>1</w:t>
            </w:r>
            <w:r w:rsidRPr="00A648F8">
              <w:rPr>
                <w:sz w:val="28"/>
                <w:vertAlign w:val="superscript"/>
              </w:rPr>
              <w:t>st</w:t>
            </w:r>
            <w:r>
              <w:rPr>
                <w:sz w:val="28"/>
              </w:rPr>
              <w:t xml:space="preserve"> Semester – 1</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0EC5B653" w:rsidR="00A648F8" w:rsidRPr="00A648F8" w:rsidRDefault="00A648F8" w:rsidP="00A648F8">
            <w:pPr>
              <w:pStyle w:val="TableParagraph"/>
              <w:rPr>
                <w:sz w:val="26"/>
                <w:szCs w:val="26"/>
              </w:rPr>
            </w:pPr>
            <w:r w:rsidRPr="00A648F8">
              <w:rPr>
                <w:sz w:val="26"/>
                <w:szCs w:val="26"/>
              </w:rPr>
              <w:t>The physics curriculum aims to introduce the student to the skills of physics, the basics of semiconductor materials, and the way diodes work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5B81B184" w:rsidR="00A648F8" w:rsidRPr="00A648F8" w:rsidRDefault="00A648F8" w:rsidP="00A648F8">
            <w:pPr>
              <w:pStyle w:val="TableParagraph"/>
              <w:spacing w:line="318" w:lineRule="exact"/>
              <w:ind w:left="891"/>
              <w:rPr>
                <w:color w:val="221F1F"/>
                <w:sz w:val="28"/>
              </w:rPr>
            </w:pPr>
            <w:r w:rsidRPr="00A648F8">
              <w:rPr>
                <w:color w:val="221F1F"/>
                <w:sz w:val="28"/>
              </w:rPr>
              <w:t>A1- During the school year, the student learns the basics of physics.</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proofErr w:type="spellStart"/>
            <w:r w:rsidRPr="00A648F8">
              <w:rPr>
                <w:color w:val="221F1F"/>
                <w:sz w:val="28"/>
              </w:rPr>
              <w:t>zener</w:t>
            </w:r>
            <w:proofErr w:type="spellEnd"/>
            <w:r w:rsidRPr="00A648F8">
              <w:rPr>
                <w:color w:val="221F1F"/>
                <w:sz w:val="28"/>
              </w:rPr>
              <w:t xml:space="preserve">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77777777" w:rsidR="009B44F6" w:rsidRPr="009B44F6" w:rsidRDefault="009B44F6" w:rsidP="009B44F6">
            <w:pPr>
              <w:pStyle w:val="TableParagraph"/>
              <w:ind w:left="749" w:hanging="395"/>
              <w:rPr>
                <w:color w:val="221F1F"/>
                <w:sz w:val="28"/>
              </w:rPr>
            </w:pPr>
            <w:r w:rsidRPr="009B44F6">
              <w:rPr>
                <w:color w:val="221F1F"/>
                <w:sz w:val="28"/>
              </w:rPr>
              <w:t>D1- Enabling students to write reports on topics related to physics.</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2981EBD" w:rsidR="00357DB0" w:rsidRDefault="00357DB0" w:rsidP="00357DB0">
            <w:pPr>
              <w:pStyle w:val="TableParagraph"/>
              <w:jc w:val="center"/>
              <w:rPr>
                <w:sz w:val="28"/>
              </w:rPr>
            </w:pPr>
            <w:r w:rsidRPr="00150CF0">
              <w:rPr>
                <w:color w:val="000000"/>
                <w:sz w:val="24"/>
                <w:szCs w:val="24"/>
                <w:lang w:bidi="ar-IQ"/>
              </w:rPr>
              <w:t>The student learns an introduction to the types of materials and binary</w:t>
            </w:r>
          </w:p>
        </w:tc>
        <w:tc>
          <w:tcPr>
            <w:tcW w:w="2341" w:type="dxa"/>
            <w:tcBorders>
              <w:left w:val="single" w:sz="6" w:space="0" w:color="4F81BC"/>
              <w:right w:val="single" w:sz="6" w:space="0" w:color="4F81BC"/>
            </w:tcBorders>
            <w:shd w:val="clear" w:color="auto" w:fill="A7BEDE"/>
            <w:vAlign w:val="center"/>
          </w:tcPr>
          <w:p w14:paraId="50E032A5" w14:textId="77777777" w:rsidR="00357DB0" w:rsidRPr="00E7549D" w:rsidRDefault="00357DB0" w:rsidP="00357DB0">
            <w:pPr>
              <w:spacing w:before="120"/>
              <w:ind w:left="37"/>
              <w:jc w:val="center"/>
            </w:pPr>
            <w:r w:rsidRPr="00E7549D">
              <w:rPr>
                <w:spacing w:val="6"/>
              </w:rPr>
              <w:t>Overview about Insulator</w:t>
            </w:r>
            <w:r>
              <w:rPr>
                <w:spacing w:val="6"/>
              </w:rPr>
              <w:t>s</w:t>
            </w:r>
            <w:r w:rsidRPr="00E7549D">
              <w:rPr>
                <w:spacing w:val="6"/>
              </w:rPr>
              <w:t>, Conductors, Semiconductors</w:t>
            </w:r>
          </w:p>
          <w:p w14:paraId="4403B2B1" w14:textId="77777777" w:rsidR="00357DB0" w:rsidRDefault="00357DB0" w:rsidP="00357DB0">
            <w:pPr>
              <w:spacing w:before="120"/>
              <w:ind w:left="37"/>
              <w:jc w:val="center"/>
              <w:rPr>
                <w:spacing w:val="6"/>
              </w:rPr>
            </w:pPr>
            <w:r w:rsidRPr="00E7549D">
              <w:rPr>
                <w:spacing w:val="6"/>
              </w:rPr>
              <w:t>Intrinsic and Extrinsic Semiconductors.</w:t>
            </w:r>
          </w:p>
          <w:p w14:paraId="737CCCCF" w14:textId="5CEB0678" w:rsidR="00357DB0" w:rsidRDefault="00357DB0" w:rsidP="00357DB0">
            <w:pPr>
              <w:pStyle w:val="TableParagraph"/>
              <w:jc w:val="center"/>
              <w:rPr>
                <w:sz w:val="28"/>
              </w:rPr>
            </w:pPr>
            <w:r w:rsidRPr="00E7549D">
              <w:rPr>
                <w:spacing w:val="6"/>
              </w:rPr>
              <w:t>P.N Junction; Forward and Reverse Biasing</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1B606859" w14:textId="4CDD15BD" w:rsidR="00357DB0" w:rsidRPr="00B52005" w:rsidRDefault="00357DB0" w:rsidP="00357DB0">
            <w:pPr>
              <w:spacing w:before="120"/>
              <w:ind w:left="37"/>
              <w:jc w:val="center"/>
              <w:rPr>
                <w:spacing w:val="6"/>
              </w:rPr>
            </w:pPr>
            <w:r w:rsidRPr="00B52005">
              <w:rPr>
                <w:spacing w:val="6"/>
              </w:rPr>
              <w:t>Physical Operation of Diodes (Diode Characteristics)</w:t>
            </w:r>
          </w:p>
          <w:p w14:paraId="5C8FE510" w14:textId="77777777" w:rsidR="00357DB0" w:rsidRPr="00B52005" w:rsidRDefault="00357DB0" w:rsidP="00357DB0">
            <w:pPr>
              <w:spacing w:before="120"/>
              <w:ind w:left="37"/>
              <w:jc w:val="center"/>
              <w:rPr>
                <w:spacing w:val="6"/>
              </w:rPr>
            </w:pPr>
            <w:r w:rsidRPr="00B52005">
              <w:rPr>
                <w:spacing w:val="6"/>
              </w:rPr>
              <w:t>DC Analysis of the Diode</w:t>
            </w:r>
          </w:p>
          <w:p w14:paraId="175382A3" w14:textId="77777777" w:rsidR="00357DB0" w:rsidRPr="00B52005" w:rsidRDefault="00357DB0" w:rsidP="00357DB0">
            <w:pPr>
              <w:spacing w:before="120"/>
              <w:ind w:left="37"/>
              <w:jc w:val="center"/>
              <w:rPr>
                <w:spacing w:val="6"/>
              </w:rPr>
            </w:pPr>
            <w:r w:rsidRPr="00B52005">
              <w:rPr>
                <w:spacing w:val="6"/>
              </w:rPr>
              <w:t>DC Load Line and Q-Point</w:t>
            </w:r>
          </w:p>
          <w:p w14:paraId="79C7694C" w14:textId="77777777" w:rsidR="00357DB0" w:rsidRPr="00B52005" w:rsidRDefault="00357DB0" w:rsidP="00357DB0">
            <w:pPr>
              <w:spacing w:before="120"/>
              <w:ind w:left="37"/>
              <w:jc w:val="center"/>
              <w:rPr>
                <w:spacing w:val="6"/>
              </w:rPr>
            </w:pPr>
            <w:r w:rsidRPr="00B52005">
              <w:rPr>
                <w:spacing w:val="6"/>
              </w:rPr>
              <w:t>Constant Voltage Drop Model</w:t>
            </w:r>
          </w:p>
          <w:p w14:paraId="721F90C0" w14:textId="77777777" w:rsidR="00357DB0" w:rsidRPr="00B52005" w:rsidRDefault="00357DB0" w:rsidP="00357DB0">
            <w:pPr>
              <w:spacing w:before="120"/>
              <w:ind w:left="37"/>
              <w:jc w:val="center"/>
              <w:rPr>
                <w:spacing w:val="6"/>
              </w:rPr>
            </w:pPr>
            <w:r w:rsidRPr="00B52005">
              <w:rPr>
                <w:spacing w:val="6"/>
              </w:rPr>
              <w:t>Piecewise Linear Diode Model</w:t>
            </w:r>
          </w:p>
          <w:p w14:paraId="4001179A" w14:textId="77777777" w:rsidR="00357DB0" w:rsidRPr="00B52005" w:rsidRDefault="00357DB0" w:rsidP="00357DB0">
            <w:pPr>
              <w:spacing w:before="120"/>
              <w:ind w:left="37"/>
              <w:jc w:val="center"/>
              <w:rPr>
                <w:spacing w:val="6"/>
              </w:rPr>
            </w:pPr>
            <w:r w:rsidRPr="00B52005">
              <w:rPr>
                <w:spacing w:val="6"/>
              </w:rPr>
              <w:t>Small Signal Diode Model</w:t>
            </w:r>
          </w:p>
          <w:p w14:paraId="2BB8355C" w14:textId="04F3408C" w:rsidR="00357DB0" w:rsidRDefault="00357DB0" w:rsidP="00357DB0">
            <w:pPr>
              <w:pStyle w:val="TableParagraph"/>
              <w:jc w:val="center"/>
              <w:rPr>
                <w:sz w:val="24"/>
              </w:rPr>
            </w:pPr>
            <w:r w:rsidRPr="00B52005">
              <w:rPr>
                <w:spacing w:val="6"/>
              </w:rPr>
              <w:t>Other Diode types: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77777777" w:rsidR="00357DB0" w:rsidRDefault="00357DB0" w:rsidP="00357DB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43924CC" w:rsidR="00357DB0" w:rsidRDefault="00357DB0" w:rsidP="00357DB0">
            <w:pPr>
              <w:pStyle w:val="TableParagraph"/>
              <w:jc w:val="center"/>
              <w:rPr>
                <w:sz w:val="24"/>
              </w:rPr>
            </w:pPr>
            <w:r w:rsidRPr="00150CF0">
              <w:rPr>
                <w:color w:val="000000"/>
                <w:sz w:val="24"/>
                <w:szCs w:val="24"/>
                <w:lang w:bidi="ar-IQ"/>
              </w:rPr>
              <w:t xml:space="preserve">Learn how a </w:t>
            </w:r>
            <w:r>
              <w:rPr>
                <w:color w:val="000000"/>
                <w:sz w:val="24"/>
                <w:szCs w:val="24"/>
                <w:lang w:bidi="ar-IQ"/>
              </w:rPr>
              <w:t>Z</w:t>
            </w:r>
            <w:r w:rsidRPr="00150CF0">
              <w:rPr>
                <w:color w:val="000000"/>
                <w:sz w:val="24"/>
                <w:szCs w:val="24"/>
                <w:lang w:bidi="ar-IQ"/>
              </w:rPr>
              <w:t>ener diode works and its applications</w:t>
            </w:r>
          </w:p>
        </w:tc>
        <w:tc>
          <w:tcPr>
            <w:tcW w:w="2341" w:type="dxa"/>
            <w:shd w:val="clear" w:color="auto" w:fill="A7BEDE"/>
            <w:vAlign w:val="center"/>
          </w:tcPr>
          <w:p w14:paraId="5AFE1211" w14:textId="4F459048" w:rsidR="00357DB0" w:rsidRDefault="00357DB0" w:rsidP="00357DB0">
            <w:pPr>
              <w:pStyle w:val="TableParagraph"/>
              <w:jc w:val="center"/>
              <w:rPr>
                <w:sz w:val="24"/>
              </w:rPr>
            </w:pPr>
            <w:r w:rsidRPr="00E2634B">
              <w:rPr>
                <w:spacing w:val="6"/>
              </w:rPr>
              <w:t>Zener Diode</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7A388B41"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proofErr w:type="spellStart"/>
            <w:r w:rsidRPr="00BD7C41">
              <w:rPr>
                <w:sz w:val="24"/>
                <w:szCs w:val="24"/>
              </w:rPr>
              <w:t>edra</w:t>
            </w:r>
            <w:proofErr w:type="spellEnd"/>
            <w:r w:rsidRPr="00BD7C41">
              <w:rPr>
                <w:sz w:val="24"/>
                <w:szCs w:val="24"/>
              </w:rPr>
              <w:t xml:space="preserve">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66432D9A"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rPr>
              <w:t xml:space="preserve">Behzad Razavi, </w:t>
            </w:r>
            <w:r w:rsidRPr="00BD7C41">
              <w:rPr>
                <w:i/>
                <w:iCs/>
                <w:sz w:val="24"/>
                <w:szCs w:val="24"/>
              </w:rPr>
              <w:t>Fundamentals of Microelectronics</w:t>
            </w:r>
            <w:r w:rsidRPr="00BD7C41">
              <w:rPr>
                <w:sz w:val="24"/>
                <w:szCs w:val="24"/>
              </w:rPr>
              <w:t>, John Wiley &amp; Sons, Preview Edition, 2006</w:t>
            </w:r>
          </w:p>
          <w:p w14:paraId="525C597B" w14:textId="3A3969DA" w:rsidR="00AD31D6" w:rsidRDefault="00357DB0" w:rsidP="00357DB0">
            <w:pPr>
              <w:pStyle w:val="TableParagraph"/>
              <w:numPr>
                <w:ilvl w:val="0"/>
                <w:numId w:val="9"/>
              </w:numPr>
              <w:ind w:left="508"/>
              <w:rPr>
                <w:sz w:val="28"/>
              </w:rPr>
            </w:pPr>
            <w:r w:rsidRPr="00BD7C41">
              <w:rPr>
                <w:sz w:val="24"/>
                <w:szCs w:val="24"/>
              </w:rPr>
              <w:t xml:space="preserve">Jimmie J. </w:t>
            </w:r>
            <w:proofErr w:type="spellStart"/>
            <w:r w:rsidRPr="00BD7C41">
              <w:rPr>
                <w:sz w:val="24"/>
                <w:szCs w:val="24"/>
              </w:rPr>
              <w:t>Cathey</w:t>
            </w:r>
            <w:proofErr w:type="spellEnd"/>
            <w:r w:rsidRPr="00BD7C41">
              <w:rPr>
                <w:sz w:val="24"/>
                <w:szCs w:val="24"/>
              </w:rPr>
              <w:t xml:space="preserve">, </w:t>
            </w:r>
            <w:proofErr w:type="spellStart"/>
            <w:r w:rsidRPr="00BD7C41">
              <w:rPr>
                <w:sz w:val="24"/>
                <w:szCs w:val="24"/>
              </w:rPr>
              <w:t>Ph.D</w:t>
            </w:r>
            <w:proofErr w:type="spellEnd"/>
            <w:r w:rsidRPr="00BD7C41">
              <w:rPr>
                <w:sz w:val="24"/>
                <w:szCs w:val="24"/>
              </w:rPr>
              <w:t xml:space="preserve">, </w:t>
            </w:r>
            <w:r w:rsidRPr="00BD7C41">
              <w:rPr>
                <w:i/>
                <w:iCs/>
                <w:sz w:val="24"/>
                <w:szCs w:val="24"/>
              </w:rPr>
              <w:t>Theory and Problems of Electronic Devices and Circuits</w:t>
            </w:r>
            <w:r w:rsidRPr="00BD7C41">
              <w:rPr>
                <w:sz w:val="24"/>
                <w:szCs w:val="24"/>
              </w:rPr>
              <w:t>, 2</w:t>
            </w:r>
            <w:r w:rsidRPr="00BD7C41">
              <w:rPr>
                <w:sz w:val="24"/>
                <w:szCs w:val="24"/>
                <w:vertAlign w:val="superscript"/>
              </w:rPr>
              <w:t>nd</w:t>
            </w:r>
            <w:r w:rsidRPr="00BD7C41">
              <w:rPr>
                <w:sz w:val="24"/>
                <w:szCs w:val="24"/>
              </w:rPr>
              <w:t xml:space="preserve"> Edition, 2002.</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247330"/>
    <w:rsid w:val="002A26C4"/>
    <w:rsid w:val="002C751F"/>
    <w:rsid w:val="00357DB0"/>
    <w:rsid w:val="004C366F"/>
    <w:rsid w:val="00564D0B"/>
    <w:rsid w:val="0061624A"/>
    <w:rsid w:val="00686E01"/>
    <w:rsid w:val="006B5F12"/>
    <w:rsid w:val="006F5F77"/>
    <w:rsid w:val="00743CA8"/>
    <w:rsid w:val="009B44F6"/>
    <w:rsid w:val="00A22EFE"/>
    <w:rsid w:val="00A648F8"/>
    <w:rsid w:val="00AD31D6"/>
    <w:rsid w:val="00B06DED"/>
    <w:rsid w:val="00B96A15"/>
    <w:rsid w:val="00C42BB4"/>
    <w:rsid w:val="00C57A5B"/>
    <w:rsid w:val="00CD2908"/>
    <w:rsid w:val="00D136C2"/>
    <w:rsid w:val="00D3294D"/>
    <w:rsid w:val="00DA6097"/>
    <w:rsid w:val="00DC74CD"/>
    <w:rsid w:val="00DF7668"/>
    <w:rsid w:val="00EA1D89"/>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F628-E7B4-4037-B148-45A7A8EB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2023-09-19T06:05:00Z</dcterms:created>
  <dcterms:modified xsi:type="dcterms:W3CDTF">2023-09-19T06:05:00Z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